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35"/>
        <w:gridCol w:w="9684"/>
      </w:tblGrid>
      <w:tr>
        <w:trPr>
          <w:trHeight w:val="2648" w:hRule="atLeast"/>
        </w:trPr>
        <w:tc>
          <w:tcPr>
            <w:tcW w:w="11119" w:type="dxa"/>
            <w:gridSpan w:val="2"/>
          </w:tcPr>
          <w:p>
            <w:pPr>
              <w:pStyle w:val="TableParagraph"/>
              <w:ind w:left="105"/>
              <w:rPr>
                <w:rFonts w:ascii="Times New Roman"/>
                <w:sz w:val="20"/>
              </w:rPr>
            </w:pPr>
            <w:r>
              <w:rPr>
                <w:rFonts w:ascii="Times New Roman"/>
                <w:sz w:val="20"/>
              </w:rPr>
              <w:drawing>
                <wp:inline distT="0" distB="0" distL="0" distR="0">
                  <wp:extent cx="6891191" cy="71485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891191" cy="714851"/>
                          </a:xfrm>
                          <a:prstGeom prst="rect">
                            <a:avLst/>
                          </a:prstGeom>
                        </pic:spPr>
                      </pic:pic>
                    </a:graphicData>
                  </a:graphic>
                </wp:inline>
              </w:drawing>
            </w:r>
            <w:r>
              <w:rPr>
                <w:rFonts w:ascii="Times New Roman"/>
                <w:sz w:val="20"/>
              </w:rPr>
            </w:r>
          </w:p>
          <w:p>
            <w:pPr>
              <w:pStyle w:val="TableParagraph"/>
              <w:spacing w:line="1065" w:lineRule="exact" w:before="166"/>
              <w:ind w:left="1537" w:right="1483"/>
              <w:jc w:val="center"/>
              <w:rPr>
                <w:rFonts w:ascii="Arial"/>
                <w:b/>
                <w:sz w:val="74"/>
              </w:rPr>
            </w:pPr>
            <w:r>
              <w:rPr>
                <w:rFonts w:ascii="Arial Black"/>
                <w:i/>
                <w:color w:val="001F5F"/>
                <w:sz w:val="76"/>
              </w:rPr>
              <w:t>Procurement</w:t>
            </w:r>
            <w:r>
              <w:rPr>
                <w:rFonts w:ascii="Arial Black"/>
                <w:i/>
                <w:color w:val="001F5F"/>
                <w:spacing w:val="-82"/>
                <w:sz w:val="76"/>
              </w:rPr>
              <w:t> </w:t>
            </w:r>
            <w:r>
              <w:rPr>
                <w:rFonts w:ascii="Arial"/>
                <w:b/>
                <w:color w:val="001F5F"/>
                <w:sz w:val="74"/>
              </w:rPr>
              <w:t>Source</w:t>
            </w:r>
          </w:p>
          <w:p>
            <w:pPr>
              <w:pStyle w:val="TableParagraph"/>
              <w:spacing w:line="272" w:lineRule="exact"/>
              <w:ind w:left="0" w:right="221"/>
              <w:jc w:val="right"/>
              <w:rPr>
                <w:b/>
                <w:sz w:val="24"/>
              </w:rPr>
            </w:pPr>
            <w:r>
              <w:rPr>
                <w:b/>
                <w:sz w:val="24"/>
              </w:rPr>
              <w:t>FY24/Q1</w:t>
            </w:r>
          </w:p>
        </w:tc>
      </w:tr>
      <w:tr>
        <w:trPr>
          <w:trHeight w:val="294" w:hRule="atLeast"/>
        </w:trPr>
        <w:tc>
          <w:tcPr>
            <w:tcW w:w="1435" w:type="dxa"/>
            <w:shd w:val="clear" w:color="auto" w:fill="DBE4F0"/>
          </w:tcPr>
          <w:p>
            <w:pPr>
              <w:pStyle w:val="TableParagraph"/>
              <w:spacing w:line="256" w:lineRule="exact" w:before="18"/>
              <w:ind w:left="210"/>
              <w:rPr>
                <w:b/>
                <w:sz w:val="22"/>
              </w:rPr>
            </w:pPr>
            <w:r>
              <w:rPr>
                <w:b/>
                <w:sz w:val="22"/>
              </w:rPr>
              <w:t>CONTENTS</w:t>
            </w:r>
          </w:p>
        </w:tc>
        <w:tc>
          <w:tcPr>
            <w:tcW w:w="9684" w:type="dxa"/>
            <w:shd w:val="clear" w:color="auto" w:fill="DBE4F0"/>
          </w:tcPr>
          <w:p>
            <w:pPr>
              <w:pStyle w:val="TableParagraph"/>
              <w:spacing w:before="20"/>
              <w:ind w:left="136"/>
              <w:rPr>
                <w:b/>
                <w:sz w:val="20"/>
              </w:rPr>
            </w:pPr>
            <w:r>
              <w:rPr>
                <w:b/>
                <w:sz w:val="20"/>
                <w:u w:val="single"/>
              </w:rPr>
              <w:t>Central Procurement Highlights</w:t>
            </w:r>
            <w:r>
              <w:rPr>
                <w:b/>
                <w:sz w:val="20"/>
              </w:rPr>
              <w:t> •</w:t>
            </w:r>
            <w:r>
              <w:rPr>
                <w:b/>
                <w:sz w:val="20"/>
                <w:u w:val="single"/>
              </w:rPr>
              <w:t>Targeted Small Business</w:t>
            </w:r>
            <w:r>
              <w:rPr>
                <w:b/>
                <w:sz w:val="20"/>
              </w:rPr>
              <w:t> </w:t>
            </w:r>
            <w:r>
              <w:rPr>
                <w:b/>
                <w:sz w:val="20"/>
                <w:u w:val="single"/>
              </w:rPr>
              <w:t>Procurement Training</w:t>
            </w:r>
            <w:r>
              <w:rPr>
                <w:b/>
                <w:sz w:val="20"/>
              </w:rPr>
              <w:t> • </w:t>
            </w:r>
            <w:r>
              <w:rPr>
                <w:b/>
                <w:sz w:val="20"/>
                <w:u w:val="single"/>
              </w:rPr>
              <w:t>Contracts &amp; Suppliers</w:t>
            </w:r>
            <w:r>
              <w:rPr>
                <w:b/>
                <w:sz w:val="20"/>
              </w:rPr>
              <w:t> • </w:t>
            </w:r>
            <w:r>
              <w:rPr>
                <w:b/>
                <w:sz w:val="20"/>
                <w:u w:val="single"/>
              </w:rPr>
              <w:t>Pcard</w:t>
            </w:r>
          </w:p>
        </w:tc>
      </w:tr>
      <w:tr>
        <w:trPr>
          <w:trHeight w:val="8610" w:hRule="atLeast"/>
        </w:trPr>
        <w:tc>
          <w:tcPr>
            <w:tcW w:w="1435" w:type="dxa"/>
            <w:shd w:val="clear" w:color="auto" w:fill="001F5F"/>
          </w:tcPr>
          <w:p>
            <w:pPr>
              <w:pStyle w:val="TableParagraph"/>
              <w:spacing w:before="16"/>
              <w:ind w:left="105" w:right="98"/>
              <w:rPr>
                <w:b/>
                <w:sz w:val="22"/>
              </w:rPr>
            </w:pPr>
            <w:r>
              <w:rPr>
                <w:b/>
                <w:color w:val="FFFFFF"/>
                <w:sz w:val="22"/>
              </w:rPr>
              <w:t>Central Procurement Highlights</w:t>
            </w:r>
          </w:p>
        </w:tc>
        <w:tc>
          <w:tcPr>
            <w:tcW w:w="9684" w:type="dxa"/>
          </w:tcPr>
          <w:p>
            <w:pPr>
              <w:pStyle w:val="TableParagraph"/>
              <w:spacing w:before="16"/>
              <w:ind w:left="91"/>
              <w:rPr>
                <w:b/>
                <w:sz w:val="28"/>
              </w:rPr>
            </w:pPr>
            <w:r>
              <w:rPr>
                <w:b/>
                <w:color w:val="800000"/>
                <w:sz w:val="28"/>
              </w:rPr>
              <w:t>A Message from the Chief Procurement Officer</w:t>
            </w:r>
          </w:p>
          <w:p>
            <w:pPr>
              <w:pStyle w:val="TableParagraph"/>
              <w:spacing w:before="5"/>
              <w:ind w:left="0"/>
              <w:rPr>
                <w:rFonts w:ascii="Times New Roman"/>
                <w:sz w:val="23"/>
              </w:rPr>
            </w:pPr>
          </w:p>
          <w:p>
            <w:pPr>
              <w:pStyle w:val="TableParagraph"/>
              <w:ind w:left="91"/>
              <w:rPr>
                <w:sz w:val="22"/>
              </w:rPr>
            </w:pPr>
            <w:r>
              <w:rPr>
                <w:sz w:val="22"/>
              </w:rPr>
              <w:t>As we roll into a new fiscal year, and work alignment issues, we decided to restart publishing the Procurement Source! We also intend to resume the Procurement Stakeholder Working Group meetings, and we will ask newly aligned agencies who they want to represent them in the meetings going forward.</w:t>
            </w:r>
          </w:p>
          <w:p>
            <w:pPr>
              <w:pStyle w:val="TableParagraph"/>
              <w:spacing w:before="123"/>
              <w:ind w:left="91"/>
              <w:rPr>
                <w:sz w:val="22"/>
              </w:rPr>
            </w:pPr>
            <w:r>
              <w:rPr>
                <w:sz w:val="22"/>
              </w:rPr>
              <w:t>We have several personnel changes within Central Services. Jocelyn Brincks transferred from her position with the Department of Public Defense to take charge of the Strategic Sourcing program, where she will perform outreach to agencies and political subdivisions to identify current and evolving agency needs.</w:t>
            </w:r>
          </w:p>
          <w:p>
            <w:pPr>
              <w:pStyle w:val="TableParagraph"/>
              <w:spacing w:before="1"/>
              <w:ind w:left="91" w:right="59"/>
              <w:rPr>
                <w:sz w:val="22"/>
              </w:rPr>
            </w:pPr>
            <w:r>
              <w:rPr>
                <w:sz w:val="22"/>
              </w:rPr>
              <w:t>Rachel Friedlander came into an Attorney 2 position to support contract negotiation and review processes. She has a strong background in a similar role in the private sector.  Jeff Richards is coming into a new Stakeholder Relations role, also with a lengthy and distinguished background in the private sector. James Harris transferred into the Pcard Manager position from the Iowa Division of Labor, and joined Heather Johnson on the Pcard Team. Laura Shannon brought her experience with the Iowa PBS to the new role of Procurement Systems Administrator to roll out IMPACS/Jaggaer. Two Purchasing Agents brought their various experiences with other agencies to the team, as Craig Trotter transferred from Iowa Workforce Development, and Sara Grier transferred from Department of Public Safety to Purchasing Agent 3 positions. Tami Skadeland brings her experience supporting professors at Iowa State in the execution of their grant funds to her new positions as a Purchasing Agent 2, and is available to assist agencies with their purchasing needs. They have fully integrated into the Procurement Team, and join Randy Bennett, Kathy Harper, Julie Janssen, and David Kundid in maintaining the Master Agreements, and performing custom solicitations under the direction of Procurement Manager Karl Wendt. For the summer, we had two interns from the Iowa State University Supply Chain Management Program, Andrew Klopf, and Caleb</w:t>
            </w:r>
            <w:r>
              <w:rPr>
                <w:spacing w:val="-3"/>
                <w:sz w:val="22"/>
              </w:rPr>
              <w:t> </w:t>
            </w:r>
            <w:r>
              <w:rPr>
                <w:sz w:val="22"/>
              </w:rPr>
              <w:t>Wenthe.</w:t>
            </w:r>
          </w:p>
          <w:p>
            <w:pPr>
              <w:pStyle w:val="TableParagraph"/>
              <w:spacing w:before="124"/>
              <w:ind w:left="91" w:right="387"/>
              <w:rPr>
                <w:sz w:val="22"/>
              </w:rPr>
            </w:pPr>
            <w:r>
              <w:rPr>
                <w:sz w:val="22"/>
              </w:rPr>
              <w:t>The agency experience and educational perspectives we gained through the aforementioned additions have made the Central Procurement Team more capable than ever of helping our Procurement Stakeholders meet their procurement needs. Please reach out if we may be of service!</w:t>
            </w:r>
          </w:p>
          <w:p>
            <w:pPr>
              <w:pStyle w:val="TableParagraph"/>
              <w:spacing w:line="350" w:lineRule="auto" w:before="125"/>
              <w:ind w:left="91" w:right="8413"/>
              <w:rPr>
                <w:sz w:val="22"/>
              </w:rPr>
            </w:pPr>
            <w:r>
              <w:rPr>
                <w:sz w:val="22"/>
              </w:rPr>
              <w:t>Respectfully, Al Meyer</w:t>
            </w:r>
          </w:p>
        </w:tc>
      </w:tr>
      <w:tr>
        <w:trPr>
          <w:trHeight w:val="1321" w:hRule="atLeast"/>
        </w:trPr>
        <w:tc>
          <w:tcPr>
            <w:tcW w:w="1435" w:type="dxa"/>
            <w:shd w:val="clear" w:color="auto" w:fill="001F5F"/>
          </w:tcPr>
          <w:p>
            <w:pPr>
              <w:pStyle w:val="TableParagraph"/>
              <w:spacing w:before="18"/>
              <w:ind w:left="102" w:right="311" w:firstLine="2"/>
              <w:rPr>
                <w:b/>
                <w:sz w:val="22"/>
              </w:rPr>
            </w:pPr>
            <w:r>
              <w:rPr>
                <w:b/>
                <w:color w:val="FFFFFF"/>
                <w:sz w:val="22"/>
              </w:rPr>
              <w:t>Targeted Small Businesses</w:t>
            </w:r>
          </w:p>
        </w:tc>
        <w:tc>
          <w:tcPr>
            <w:tcW w:w="9684" w:type="dxa"/>
          </w:tcPr>
          <w:p>
            <w:pPr>
              <w:pStyle w:val="TableParagraph"/>
              <w:spacing w:before="18"/>
              <w:ind w:left="105"/>
              <w:rPr>
                <w:b/>
                <w:sz w:val="28"/>
              </w:rPr>
            </w:pPr>
            <w:r>
              <w:rPr>
                <w:b/>
                <w:color w:val="800000"/>
                <w:sz w:val="28"/>
              </w:rPr>
              <w:t>Targeted Small Businesses</w:t>
            </w:r>
          </w:p>
          <w:p>
            <w:pPr>
              <w:pStyle w:val="TableParagraph"/>
              <w:spacing w:before="21"/>
              <w:ind w:left="105" w:right="408"/>
              <w:rPr>
                <w:sz w:val="22"/>
              </w:rPr>
            </w:pPr>
            <w:r>
              <w:rPr>
                <w:sz w:val="22"/>
              </w:rPr>
              <w:t>Targeted Small Businesses continue to be a great option for you to procure goods and services from. You may consider TSBs for direct award of contracts for goods and services up to $25,000, pursuant to the TSB exception. Remember your use of TSBs contributes to your agency’s annual goal.</w:t>
            </w:r>
          </w:p>
        </w:tc>
      </w:tr>
    </w:tbl>
    <w:p>
      <w:pPr>
        <w:spacing w:after="0"/>
        <w:rPr>
          <w:sz w:val="22"/>
        </w:rPr>
        <w:sectPr>
          <w:footerReference w:type="default" r:id="rId5"/>
          <w:type w:val="continuous"/>
          <w:pgSz w:w="12240" w:h="15840"/>
          <w:pgMar w:footer="522" w:top="1020" w:bottom="720" w:left="520" w:right="320"/>
          <w:pgNumType w:start="1"/>
        </w:sect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26"/>
        <w:gridCol w:w="9737"/>
      </w:tblGrid>
      <w:tr>
        <w:trPr>
          <w:trHeight w:val="13645" w:hRule="atLeast"/>
        </w:trPr>
        <w:tc>
          <w:tcPr>
            <w:tcW w:w="1426" w:type="dxa"/>
            <w:shd w:val="clear" w:color="auto" w:fill="001F5F"/>
          </w:tcPr>
          <w:p>
            <w:pPr>
              <w:pStyle w:val="TableParagraph"/>
              <w:spacing w:before="52"/>
              <w:ind w:left="98" w:right="96"/>
              <w:rPr>
                <w:b/>
                <w:sz w:val="22"/>
              </w:rPr>
            </w:pPr>
            <w:r>
              <w:rPr>
                <w:b/>
                <w:color w:val="FFFFFF"/>
                <w:sz w:val="22"/>
              </w:rPr>
              <w:t>Procurement Training</w:t>
            </w:r>
          </w:p>
        </w:tc>
        <w:tc>
          <w:tcPr>
            <w:tcW w:w="9737" w:type="dxa"/>
          </w:tcPr>
          <w:p>
            <w:pPr>
              <w:pStyle w:val="TableParagraph"/>
              <w:spacing w:before="52"/>
              <w:ind w:left="97"/>
              <w:rPr>
                <w:b/>
                <w:sz w:val="28"/>
              </w:rPr>
            </w:pPr>
            <w:r>
              <w:rPr>
                <w:b/>
                <w:color w:val="800000"/>
                <w:sz w:val="28"/>
              </w:rPr>
              <w:t>DAS Provides Procurement Training</w:t>
            </w:r>
          </w:p>
          <w:p>
            <w:pPr>
              <w:pStyle w:val="TableParagraph"/>
              <w:spacing w:before="20"/>
              <w:ind w:left="97" w:right="96"/>
              <w:rPr>
                <w:sz w:val="22"/>
              </w:rPr>
            </w:pPr>
            <w:r>
              <w:rPr>
                <w:sz w:val="22"/>
              </w:rPr>
              <w:t>DAS provided procurement training to over 400 people during the second half of FY23. Changes in internal procurement policy within multiple agencies and the state agency alignment initiative created the need  for hundreds of staff to receive procurement training. In addition to our normal course offerings virtually and at the Hoover Building, DAS went to many agency facilities to provide</w:t>
            </w:r>
            <w:r>
              <w:rPr>
                <w:spacing w:val="-11"/>
                <w:sz w:val="22"/>
              </w:rPr>
              <w:t> </w:t>
            </w:r>
            <w:r>
              <w:rPr>
                <w:sz w:val="22"/>
              </w:rPr>
              <w:t>training.</w:t>
            </w:r>
          </w:p>
          <w:p>
            <w:pPr>
              <w:pStyle w:val="TableParagraph"/>
              <w:ind w:left="0"/>
              <w:rPr>
                <w:rFonts w:ascii="Times New Roman"/>
                <w:sz w:val="22"/>
              </w:rPr>
            </w:pPr>
          </w:p>
          <w:p>
            <w:pPr>
              <w:pStyle w:val="TableParagraph"/>
              <w:spacing w:before="133"/>
              <w:ind w:left="97"/>
              <w:rPr>
                <w:b/>
                <w:sz w:val="28"/>
              </w:rPr>
            </w:pPr>
            <w:r>
              <w:rPr>
                <w:b/>
                <w:color w:val="800000"/>
                <w:sz w:val="28"/>
              </w:rPr>
              <w:t>FY24 Procurement Training</w:t>
            </w:r>
          </w:p>
          <w:p>
            <w:pPr>
              <w:pStyle w:val="TableParagraph"/>
              <w:spacing w:before="20"/>
              <w:ind w:left="97" w:right="552"/>
              <w:rPr>
                <w:sz w:val="22"/>
              </w:rPr>
            </w:pPr>
            <w:r>
              <w:rPr>
                <w:sz w:val="22"/>
              </w:rPr>
              <w:t>Procurement courses for the upcoming year will be delivered both in-person and virtually. Registered attendees will be notified and provided instructions prior to class.</w:t>
            </w:r>
          </w:p>
          <w:p>
            <w:pPr>
              <w:pStyle w:val="TableParagraph"/>
              <w:spacing w:before="2"/>
              <w:ind w:left="0"/>
              <w:rPr>
                <w:rFonts w:ascii="Times New Roman"/>
                <w:sz w:val="24"/>
              </w:rPr>
            </w:pPr>
          </w:p>
          <w:p>
            <w:pPr>
              <w:pStyle w:val="TableParagraph"/>
              <w:spacing w:before="1"/>
              <w:ind w:left="148"/>
              <w:rPr>
                <w:b/>
                <w:sz w:val="22"/>
              </w:rPr>
            </w:pPr>
            <w:r>
              <w:rPr>
                <w:b/>
                <w:color w:val="FFFFFF"/>
                <w:sz w:val="22"/>
                <w:shd w:fill="1F487C" w:color="auto" w:val="clear"/>
              </w:rPr>
              <w:t>Performance and Development Solutions (PDS), DAS Human Resources Enterprise (HRE) Courses</w:t>
            </w:r>
          </w:p>
          <w:p>
            <w:pPr>
              <w:pStyle w:val="TableParagraph"/>
              <w:numPr>
                <w:ilvl w:val="0"/>
                <w:numId w:val="1"/>
              </w:numPr>
              <w:tabs>
                <w:tab w:pos="817" w:val="left" w:leader="none"/>
                <w:tab w:pos="818" w:val="left" w:leader="none"/>
              </w:tabs>
              <w:spacing w:line="240" w:lineRule="auto" w:before="0" w:after="0"/>
              <w:ind w:left="817" w:right="0" w:hanging="361"/>
              <w:jc w:val="left"/>
              <w:rPr>
                <w:rFonts w:ascii="Arial" w:hAnsi="Arial"/>
                <w:b/>
                <w:sz w:val="20"/>
              </w:rPr>
            </w:pPr>
            <w:r>
              <w:rPr>
                <w:b/>
                <w:sz w:val="22"/>
              </w:rPr>
              <w:t>Introduction to State Procurement – 8:30 a.m. - 12:30</w:t>
            </w:r>
            <w:r>
              <w:rPr>
                <w:b/>
                <w:spacing w:val="-7"/>
                <w:sz w:val="22"/>
              </w:rPr>
              <w:t> </w:t>
            </w:r>
            <w:r>
              <w:rPr>
                <w:b/>
                <w:sz w:val="22"/>
              </w:rPr>
              <w:t>p.m.</w:t>
            </w:r>
          </w:p>
          <w:p>
            <w:pPr>
              <w:pStyle w:val="TableParagraph"/>
              <w:spacing w:before="2"/>
              <w:rPr>
                <w:sz w:val="21"/>
              </w:rPr>
            </w:pPr>
            <w:r>
              <w:rPr>
                <w:color w:val="333333"/>
                <w:sz w:val="21"/>
              </w:rPr>
              <w:t>9/26/23</w:t>
            </w:r>
          </w:p>
          <w:p>
            <w:pPr>
              <w:pStyle w:val="TableParagraph"/>
              <w:spacing w:line="255" w:lineRule="exact" w:before="1"/>
              <w:rPr>
                <w:sz w:val="21"/>
              </w:rPr>
            </w:pPr>
            <w:r>
              <w:rPr>
                <w:color w:val="333333"/>
                <w:spacing w:val="4"/>
                <w:sz w:val="21"/>
              </w:rPr>
              <w:t>10/19/23</w:t>
            </w:r>
          </w:p>
          <w:p>
            <w:pPr>
              <w:pStyle w:val="TableParagraph"/>
              <w:spacing w:line="255" w:lineRule="exact"/>
              <w:rPr>
                <w:sz w:val="21"/>
              </w:rPr>
            </w:pPr>
            <w:r>
              <w:rPr>
                <w:color w:val="333333"/>
                <w:spacing w:val="4"/>
                <w:sz w:val="21"/>
              </w:rPr>
              <w:t>11/28/23</w:t>
            </w:r>
          </w:p>
          <w:p>
            <w:pPr>
              <w:pStyle w:val="TableParagraph"/>
              <w:rPr>
                <w:sz w:val="21"/>
              </w:rPr>
            </w:pPr>
            <w:r>
              <w:rPr>
                <w:color w:val="333333"/>
                <w:spacing w:val="4"/>
                <w:sz w:val="21"/>
              </w:rPr>
              <w:t>12/21/23</w:t>
            </w:r>
          </w:p>
          <w:p>
            <w:pPr>
              <w:pStyle w:val="TableParagraph"/>
              <w:spacing w:before="1"/>
              <w:rPr>
                <w:sz w:val="21"/>
              </w:rPr>
            </w:pPr>
            <w:r>
              <w:rPr>
                <w:color w:val="333333"/>
                <w:spacing w:val="4"/>
                <w:sz w:val="21"/>
              </w:rPr>
              <w:t>1/23/24</w:t>
            </w:r>
          </w:p>
          <w:p>
            <w:pPr>
              <w:pStyle w:val="TableParagraph"/>
              <w:rPr>
                <w:sz w:val="21"/>
              </w:rPr>
            </w:pPr>
            <w:r>
              <w:rPr>
                <w:color w:val="333333"/>
                <w:spacing w:val="4"/>
                <w:sz w:val="21"/>
              </w:rPr>
              <w:t>2/21/24</w:t>
            </w:r>
          </w:p>
          <w:p>
            <w:pPr>
              <w:pStyle w:val="TableParagraph"/>
              <w:spacing w:before="1"/>
              <w:rPr>
                <w:sz w:val="21"/>
              </w:rPr>
            </w:pPr>
            <w:r>
              <w:rPr>
                <w:color w:val="333333"/>
                <w:spacing w:val="4"/>
                <w:sz w:val="21"/>
              </w:rPr>
              <w:t>3/27/24</w:t>
            </w:r>
          </w:p>
          <w:p>
            <w:pPr>
              <w:pStyle w:val="TableParagraph"/>
              <w:spacing w:line="255" w:lineRule="exact"/>
              <w:rPr>
                <w:sz w:val="21"/>
              </w:rPr>
            </w:pPr>
            <w:r>
              <w:rPr>
                <w:color w:val="333333"/>
                <w:spacing w:val="4"/>
                <w:sz w:val="21"/>
              </w:rPr>
              <w:t>4/23/24</w:t>
            </w:r>
          </w:p>
          <w:p>
            <w:pPr>
              <w:pStyle w:val="TableParagraph"/>
              <w:spacing w:line="255" w:lineRule="exact"/>
              <w:rPr>
                <w:sz w:val="21"/>
              </w:rPr>
            </w:pPr>
            <w:r>
              <w:rPr>
                <w:color w:val="333333"/>
                <w:spacing w:val="4"/>
                <w:sz w:val="21"/>
              </w:rPr>
              <w:t>5/22/24</w:t>
            </w:r>
          </w:p>
          <w:p>
            <w:pPr>
              <w:pStyle w:val="TableParagraph"/>
              <w:spacing w:before="2"/>
              <w:ind w:left="0"/>
              <w:rPr>
                <w:rFonts w:ascii="Times New Roman"/>
                <w:sz w:val="22"/>
              </w:rPr>
            </w:pPr>
          </w:p>
          <w:p>
            <w:pPr>
              <w:pStyle w:val="TableParagraph"/>
              <w:ind w:right="522"/>
              <w:rPr>
                <w:i/>
                <w:sz w:val="22"/>
              </w:rPr>
            </w:pPr>
            <w:r>
              <w:rPr>
                <w:sz w:val="22"/>
              </w:rPr>
              <w:t>This free, 1/2-day session is required for Level 1 procurement certification and above. </w:t>
            </w:r>
            <w:r>
              <w:rPr>
                <w:i/>
                <w:sz w:val="22"/>
              </w:rPr>
              <w:t>Prerequisites: Buying Basics and (5) procurement code web-based training (WBT) modules are </w:t>
            </w:r>
            <w:r>
              <w:rPr>
                <w:i/>
                <w:sz w:val="22"/>
              </w:rPr>
              <w:t>available upon request from </w:t>
            </w:r>
            <w:hyperlink r:id="rId7">
              <w:r>
                <w:rPr>
                  <w:i/>
                  <w:color w:val="1F3863"/>
                  <w:sz w:val="22"/>
                  <w:u w:val="single" w:color="1F3863"/>
                </w:rPr>
                <w:t>Karl Wendt</w:t>
              </w:r>
            </w:hyperlink>
            <w:r>
              <w:rPr>
                <w:i/>
                <w:color w:val="1F3863"/>
                <w:sz w:val="22"/>
              </w:rPr>
              <w:t>.</w:t>
            </w:r>
          </w:p>
          <w:p>
            <w:pPr>
              <w:pStyle w:val="TableParagraph"/>
              <w:spacing w:before="5"/>
              <w:ind w:left="0"/>
              <w:rPr>
                <w:rFonts w:ascii="Times New Roman"/>
                <w:sz w:val="23"/>
              </w:rPr>
            </w:pPr>
          </w:p>
          <w:p>
            <w:pPr>
              <w:pStyle w:val="TableParagraph"/>
              <w:numPr>
                <w:ilvl w:val="0"/>
                <w:numId w:val="1"/>
              </w:numPr>
              <w:tabs>
                <w:tab w:pos="817" w:val="left" w:leader="none"/>
                <w:tab w:pos="818" w:val="left" w:leader="none"/>
              </w:tabs>
              <w:spacing w:line="240" w:lineRule="auto" w:before="0" w:after="0"/>
              <w:ind w:left="817" w:right="0" w:hanging="361"/>
              <w:jc w:val="left"/>
              <w:rPr>
                <w:rFonts w:ascii="Arial" w:hAnsi="Arial"/>
                <w:b/>
                <w:sz w:val="20"/>
              </w:rPr>
            </w:pPr>
            <w:r>
              <w:rPr>
                <w:b/>
                <w:sz w:val="22"/>
              </w:rPr>
              <w:t>Advanced Procurement Certification – 8:30 a.m. - 4:30</w:t>
            </w:r>
            <w:r>
              <w:rPr>
                <w:b/>
                <w:spacing w:val="-11"/>
                <w:sz w:val="22"/>
              </w:rPr>
              <w:t> </w:t>
            </w:r>
            <w:r>
              <w:rPr>
                <w:b/>
                <w:sz w:val="22"/>
              </w:rPr>
              <w:t>p.m.</w:t>
            </w:r>
          </w:p>
          <w:p>
            <w:pPr>
              <w:pStyle w:val="TableParagraph"/>
              <w:rPr>
                <w:sz w:val="21"/>
              </w:rPr>
            </w:pPr>
            <w:r>
              <w:rPr>
                <w:color w:val="333333"/>
                <w:sz w:val="21"/>
              </w:rPr>
              <w:t>8/31/23</w:t>
            </w:r>
          </w:p>
          <w:p>
            <w:pPr>
              <w:pStyle w:val="TableParagraph"/>
              <w:spacing w:before="1"/>
              <w:rPr>
                <w:sz w:val="21"/>
              </w:rPr>
            </w:pPr>
            <w:r>
              <w:rPr>
                <w:color w:val="333333"/>
                <w:sz w:val="21"/>
              </w:rPr>
              <w:t>11/30/23</w:t>
            </w:r>
          </w:p>
          <w:p>
            <w:pPr>
              <w:pStyle w:val="TableParagraph"/>
              <w:rPr>
                <w:sz w:val="21"/>
              </w:rPr>
            </w:pPr>
            <w:r>
              <w:rPr>
                <w:color w:val="333333"/>
                <w:spacing w:val="4"/>
                <w:sz w:val="21"/>
              </w:rPr>
              <w:t>2/29/24</w:t>
            </w:r>
          </w:p>
          <w:p>
            <w:pPr>
              <w:pStyle w:val="TableParagraph"/>
              <w:spacing w:before="1"/>
              <w:rPr>
                <w:sz w:val="21"/>
              </w:rPr>
            </w:pPr>
            <w:r>
              <w:rPr>
                <w:color w:val="333333"/>
                <w:spacing w:val="4"/>
                <w:sz w:val="21"/>
              </w:rPr>
              <w:t>5/30/24</w:t>
            </w:r>
          </w:p>
          <w:p>
            <w:pPr>
              <w:pStyle w:val="TableParagraph"/>
              <w:spacing w:before="2"/>
              <w:ind w:left="0"/>
              <w:rPr>
                <w:rFonts w:ascii="Times New Roman"/>
                <w:sz w:val="23"/>
              </w:rPr>
            </w:pPr>
          </w:p>
          <w:p>
            <w:pPr>
              <w:pStyle w:val="TableParagraph"/>
              <w:ind w:right="88"/>
              <w:rPr>
                <w:i/>
                <w:sz w:val="22"/>
              </w:rPr>
            </w:pPr>
            <w:r>
              <w:rPr>
                <w:sz w:val="22"/>
              </w:rPr>
              <w:t>This-full day seminar is designed to prepare state employees to conduct procurement actions with an estimated value between $5,000 and $50,000 and is required for Level 2 purchasing authority. </w:t>
            </w:r>
            <w:r>
              <w:rPr>
                <w:i/>
                <w:sz w:val="22"/>
              </w:rPr>
              <w:t>Prerequisites: Intro to State Procurement.</w:t>
            </w:r>
          </w:p>
          <w:p>
            <w:pPr>
              <w:pStyle w:val="TableParagraph"/>
              <w:ind w:right="110"/>
              <w:rPr>
                <w:b/>
                <w:sz w:val="22"/>
              </w:rPr>
            </w:pPr>
            <w:r>
              <w:rPr>
                <w:sz w:val="22"/>
              </w:rPr>
              <w:t>Procurement training for State employees is provided by DAS and professional industry resources. Please refer to the </w:t>
            </w:r>
            <w:hyperlink r:id="rId8">
              <w:r>
                <w:rPr>
                  <w:color w:val="001F5F"/>
                  <w:sz w:val="22"/>
                  <w:u w:val="single" w:color="001F5F"/>
                </w:rPr>
                <w:t>DAS Central Procurement training webpage</w:t>
              </w:r>
              <w:r>
                <w:rPr>
                  <w:color w:val="001F5F"/>
                  <w:sz w:val="22"/>
                </w:rPr>
                <w:t> </w:t>
              </w:r>
            </w:hyperlink>
            <w:r>
              <w:rPr>
                <w:sz w:val="22"/>
              </w:rPr>
              <w:t>to identify required courses. To register, go to the </w:t>
            </w:r>
            <w:hyperlink r:id="rId9">
              <w:r>
                <w:rPr>
                  <w:color w:val="001F5F"/>
                  <w:sz w:val="22"/>
                </w:rPr>
                <w:t>PDS Learning Management System</w:t>
              </w:r>
              <w:r>
                <w:rPr>
                  <w:sz w:val="22"/>
                </w:rPr>
                <w:t>, </w:t>
              </w:r>
            </w:hyperlink>
            <w:r>
              <w:rPr>
                <w:sz w:val="22"/>
              </w:rPr>
              <w:t>or contact your Agency's </w:t>
            </w:r>
            <w:hyperlink r:id="rId10">
              <w:r>
                <w:rPr>
                  <w:color w:val="001F5F"/>
                  <w:sz w:val="22"/>
                  <w:u w:val="single" w:color="001F5F"/>
                </w:rPr>
                <w:t>PDS Training</w:t>
              </w:r>
            </w:hyperlink>
            <w:r>
              <w:rPr>
                <w:color w:val="001F5F"/>
                <w:sz w:val="22"/>
              </w:rPr>
              <w:t> </w:t>
            </w:r>
            <w:hyperlink r:id="rId10">
              <w:r>
                <w:rPr>
                  <w:color w:val="001F5F"/>
                  <w:sz w:val="22"/>
                  <w:u w:val="single" w:color="001F5F"/>
                </w:rPr>
                <w:t>Liaison</w:t>
              </w:r>
              <w:r>
                <w:rPr>
                  <w:color w:val="001F5F"/>
                  <w:sz w:val="22"/>
                </w:rPr>
                <w:t> </w:t>
              </w:r>
            </w:hyperlink>
            <w:r>
              <w:rPr>
                <w:sz w:val="22"/>
              </w:rPr>
              <w:t>for assistance. Additional details will be emailed a week before class. For fee information, refer to the </w:t>
            </w:r>
            <w:hyperlink r:id="rId11">
              <w:r>
                <w:rPr>
                  <w:color w:val="1F3863"/>
                  <w:sz w:val="22"/>
                  <w:u w:val="single" w:color="1F3863"/>
                </w:rPr>
                <w:t>FY24 Course Catalog</w:t>
              </w:r>
              <w:r>
                <w:rPr>
                  <w:b/>
                  <w:color w:val="333333"/>
                  <w:sz w:val="22"/>
                </w:rPr>
                <w:t>.</w:t>
              </w:r>
            </w:hyperlink>
          </w:p>
          <w:p>
            <w:pPr>
              <w:pStyle w:val="TableParagraph"/>
              <w:ind w:left="0"/>
              <w:rPr>
                <w:rFonts w:ascii="Times New Roman"/>
                <w:sz w:val="22"/>
              </w:rPr>
            </w:pPr>
          </w:p>
          <w:p>
            <w:pPr>
              <w:pStyle w:val="TableParagraph"/>
              <w:spacing w:before="8"/>
              <w:ind w:left="0"/>
              <w:rPr>
                <w:rFonts w:ascii="Times New Roman"/>
                <w:sz w:val="24"/>
              </w:rPr>
            </w:pPr>
          </w:p>
          <w:p>
            <w:pPr>
              <w:pStyle w:val="TableParagraph"/>
              <w:tabs>
                <w:tab w:pos="9481" w:val="left" w:leader="none"/>
              </w:tabs>
              <w:ind w:left="97"/>
              <w:jc w:val="both"/>
              <w:rPr>
                <w:b/>
                <w:sz w:val="22"/>
              </w:rPr>
            </w:pPr>
            <w:r>
              <w:rPr>
                <w:b/>
                <w:color w:val="FFFFFF"/>
                <w:sz w:val="22"/>
                <w:shd w:fill="1F487C" w:color="auto" w:val="clear"/>
              </w:rPr>
              <w:t>National Institute of Governmental Purchasing</w:t>
            </w:r>
            <w:r>
              <w:rPr>
                <w:b/>
                <w:color w:val="FFFFFF"/>
                <w:spacing w:val="-19"/>
                <w:sz w:val="22"/>
                <w:shd w:fill="1F487C" w:color="auto" w:val="clear"/>
              </w:rPr>
              <w:t> </w:t>
            </w:r>
            <w:r>
              <w:rPr>
                <w:b/>
                <w:color w:val="FFFFFF"/>
                <w:sz w:val="22"/>
                <w:shd w:fill="1F487C" w:color="auto" w:val="clear"/>
              </w:rPr>
              <w:t>(NIGP)</w:t>
              <w:tab/>
            </w:r>
          </w:p>
          <w:p>
            <w:pPr>
              <w:pStyle w:val="TableParagraph"/>
              <w:ind w:left="97"/>
              <w:jc w:val="both"/>
              <w:rPr>
                <w:sz w:val="22"/>
              </w:rPr>
            </w:pPr>
            <w:r>
              <w:rPr>
                <w:sz w:val="22"/>
              </w:rPr>
              <w:t>Additional courses required for Level 2 purchasing authority include:</w:t>
            </w:r>
          </w:p>
          <w:p>
            <w:pPr>
              <w:pStyle w:val="TableParagraph"/>
              <w:numPr>
                <w:ilvl w:val="0"/>
                <w:numId w:val="1"/>
              </w:numPr>
              <w:tabs>
                <w:tab w:pos="818" w:val="left" w:leader="none"/>
              </w:tabs>
              <w:spacing w:line="240" w:lineRule="auto" w:before="1" w:after="0"/>
              <w:ind w:left="817" w:right="0" w:hanging="361"/>
              <w:jc w:val="both"/>
              <w:rPr>
                <w:rFonts w:ascii="Arial" w:hAnsi="Arial"/>
                <w:sz w:val="22"/>
              </w:rPr>
            </w:pPr>
            <w:r>
              <w:rPr>
                <w:color w:val="212121"/>
                <w:sz w:val="22"/>
              </w:rPr>
              <w:t>NIGP Foundations of Strategy and</w:t>
            </w:r>
            <w:r>
              <w:rPr>
                <w:color w:val="212121"/>
                <w:spacing w:val="-2"/>
                <w:sz w:val="22"/>
              </w:rPr>
              <w:t> </w:t>
            </w:r>
            <w:r>
              <w:rPr>
                <w:color w:val="212121"/>
                <w:sz w:val="22"/>
              </w:rPr>
              <w:t>Policy</w:t>
            </w:r>
          </w:p>
          <w:p>
            <w:pPr>
              <w:pStyle w:val="TableParagraph"/>
              <w:numPr>
                <w:ilvl w:val="0"/>
                <w:numId w:val="1"/>
              </w:numPr>
              <w:tabs>
                <w:tab w:pos="819" w:val="left" w:leader="none"/>
              </w:tabs>
              <w:spacing w:line="240" w:lineRule="auto" w:before="9" w:after="0"/>
              <w:ind w:left="818" w:right="0" w:hanging="361"/>
              <w:jc w:val="both"/>
              <w:rPr>
                <w:rFonts w:ascii="Arial" w:hAnsi="Arial"/>
                <w:sz w:val="22"/>
              </w:rPr>
            </w:pPr>
            <w:r>
              <w:rPr>
                <w:color w:val="212121"/>
                <w:sz w:val="22"/>
              </w:rPr>
              <w:t>NIGP Competency Module: Advanced Legislation and Legal</w:t>
            </w:r>
            <w:r>
              <w:rPr>
                <w:color w:val="212121"/>
                <w:spacing w:val="-10"/>
                <w:sz w:val="22"/>
              </w:rPr>
              <w:t> </w:t>
            </w:r>
            <w:r>
              <w:rPr>
                <w:color w:val="212121"/>
                <w:sz w:val="22"/>
              </w:rPr>
              <w:t>Environment</w:t>
            </w:r>
          </w:p>
          <w:p>
            <w:pPr>
              <w:pStyle w:val="TableParagraph"/>
              <w:spacing w:before="10"/>
              <w:ind w:left="97" w:right="441"/>
              <w:jc w:val="both"/>
              <w:rPr>
                <w:sz w:val="22"/>
              </w:rPr>
            </w:pPr>
            <w:r>
              <w:rPr>
                <w:sz w:val="22"/>
              </w:rPr>
              <w:t>These classes will be held remotely. Confirmation and additional details will be emailed. Visit the </w:t>
            </w:r>
            <w:hyperlink r:id="rId12">
              <w:r>
                <w:rPr>
                  <w:color w:val="001F5F"/>
                  <w:sz w:val="22"/>
                  <w:u w:val="single" w:color="001F5F"/>
                </w:rPr>
                <w:t>NIGP</w:t>
              </w:r>
            </w:hyperlink>
            <w:r>
              <w:rPr>
                <w:color w:val="001F5F"/>
                <w:sz w:val="22"/>
              </w:rPr>
              <w:t> </w:t>
            </w:r>
            <w:hyperlink r:id="rId12">
              <w:r>
                <w:rPr>
                  <w:color w:val="001F5F"/>
                  <w:sz w:val="22"/>
                  <w:u w:val="single" w:color="001F5F"/>
                </w:rPr>
                <w:t>website</w:t>
              </w:r>
              <w:r>
                <w:rPr>
                  <w:color w:val="001F5F"/>
                  <w:sz w:val="22"/>
                </w:rPr>
                <w:t> </w:t>
              </w:r>
            </w:hyperlink>
            <w:r>
              <w:rPr>
                <w:sz w:val="22"/>
              </w:rPr>
              <w:t>for more procurement education information, or visit the state’s NIGP Chapter website - </w:t>
            </w:r>
            <w:hyperlink r:id="rId13">
              <w:r>
                <w:rPr>
                  <w:color w:val="001F5F"/>
                  <w:sz w:val="22"/>
                  <w:u w:val="single" w:color="001F5F"/>
                </w:rPr>
                <w:t>Iowa</w:t>
              </w:r>
            </w:hyperlink>
            <w:r>
              <w:rPr>
                <w:color w:val="001F5F"/>
                <w:sz w:val="22"/>
              </w:rPr>
              <w:t> </w:t>
            </w:r>
            <w:hyperlink r:id="rId13">
              <w:r>
                <w:rPr>
                  <w:color w:val="001F5F"/>
                  <w:sz w:val="22"/>
                  <w:u w:val="single" w:color="001F5F"/>
                </w:rPr>
                <w:t>Public Procurement Association (IPPA)</w:t>
              </w:r>
            </w:hyperlink>
            <w:hyperlink r:id="rId13">
              <w:r>
                <w:rPr>
                  <w:sz w:val="22"/>
                </w:rPr>
                <w:t>.</w:t>
              </w:r>
            </w:hyperlink>
          </w:p>
        </w:tc>
      </w:tr>
    </w:tbl>
    <w:p>
      <w:pPr>
        <w:spacing w:after="0"/>
        <w:jc w:val="both"/>
        <w:rPr>
          <w:sz w:val="22"/>
        </w:rPr>
        <w:sectPr>
          <w:pgSz w:w="12240" w:h="15840"/>
          <w:pgMar w:header="0" w:footer="522" w:top="720" w:bottom="720" w:left="520" w:right="320"/>
        </w:sect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26"/>
        <w:gridCol w:w="9737"/>
      </w:tblGrid>
      <w:tr>
        <w:trPr>
          <w:trHeight w:val="3702" w:hRule="atLeast"/>
        </w:trPr>
        <w:tc>
          <w:tcPr>
            <w:tcW w:w="1426" w:type="dxa"/>
            <w:shd w:val="clear" w:color="auto" w:fill="001F5F"/>
          </w:tcPr>
          <w:p>
            <w:pPr>
              <w:pStyle w:val="TableParagraph"/>
              <w:ind w:left="0"/>
              <w:rPr>
                <w:rFonts w:ascii="Times New Roman"/>
                <w:sz w:val="22"/>
              </w:rPr>
            </w:pPr>
          </w:p>
        </w:tc>
        <w:tc>
          <w:tcPr>
            <w:tcW w:w="9737" w:type="dxa"/>
          </w:tcPr>
          <w:p>
            <w:pPr>
              <w:pStyle w:val="TableParagraph"/>
              <w:tabs>
                <w:tab w:pos="9412" w:val="left" w:leader="none"/>
              </w:tabs>
              <w:spacing w:line="242" w:lineRule="auto" w:before="95"/>
              <w:ind w:left="97" w:right="243"/>
              <w:rPr>
                <w:sz w:val="22"/>
              </w:rPr>
            </w:pPr>
            <w:r>
              <w:rPr>
                <w:b/>
                <w:color w:val="FFFFFF"/>
                <w:sz w:val="22"/>
                <w:shd w:fill="1F487C" w:color="auto" w:val="clear"/>
              </w:rPr>
              <w:t>IMPACS Training for</w:t>
            </w:r>
            <w:r>
              <w:rPr>
                <w:b/>
                <w:color w:val="FFFFFF"/>
                <w:spacing w:val="-10"/>
                <w:sz w:val="22"/>
                <w:shd w:fill="1F487C" w:color="auto" w:val="clear"/>
              </w:rPr>
              <w:t> </w:t>
            </w:r>
            <w:r>
              <w:rPr>
                <w:b/>
                <w:color w:val="FFFFFF"/>
                <w:sz w:val="22"/>
                <w:shd w:fill="1F487C" w:color="auto" w:val="clear"/>
              </w:rPr>
              <w:t>Purchasing</w:t>
            </w:r>
            <w:r>
              <w:rPr>
                <w:b/>
                <w:color w:val="FFFFFF"/>
                <w:spacing w:val="-3"/>
                <w:sz w:val="22"/>
                <w:shd w:fill="1F487C" w:color="auto" w:val="clear"/>
              </w:rPr>
              <w:t> </w:t>
            </w:r>
            <w:r>
              <w:rPr>
                <w:b/>
                <w:color w:val="FFFFFF"/>
                <w:sz w:val="22"/>
                <w:shd w:fill="1F487C" w:color="auto" w:val="clear"/>
              </w:rPr>
              <w:t>Agents</w:t>
              <w:tab/>
            </w:r>
            <w:r>
              <w:rPr>
                <w:b/>
                <w:color w:val="FFFFFF"/>
                <w:sz w:val="22"/>
              </w:rPr>
              <w:t> </w:t>
            </w:r>
            <w:r>
              <w:rPr>
                <w:sz w:val="22"/>
              </w:rPr>
              <w:t>Training for the new IMPACS system is available for all purchasing agents (PA) and agency authorized purchasers (AAP) who are interested in facilitating procurements online, automating their contract administration process, and conduct online shopping through the punchout. Laura Shannon will provide you training virtually and tailor it to fit your specific needs if required. Sign up for the following classes in the Learnsoft LMS either through OKTA or at </w:t>
            </w:r>
            <w:hyperlink r:id="rId14">
              <w:r>
                <w:rPr>
                  <w:color w:val="1F3863"/>
                  <w:spacing w:val="4"/>
                  <w:sz w:val="22"/>
                  <w:u w:val="single" w:color="1F3863"/>
                </w:rPr>
                <w:t>State of </w:t>
              </w:r>
              <w:r>
                <w:rPr>
                  <w:color w:val="1F3863"/>
                  <w:spacing w:val="3"/>
                  <w:sz w:val="22"/>
                  <w:u w:val="single" w:color="1F3863"/>
                </w:rPr>
                <w:t>Iowa </w:t>
              </w:r>
              <w:r>
                <w:rPr>
                  <w:color w:val="1F3863"/>
                  <w:spacing w:val="4"/>
                  <w:sz w:val="22"/>
                  <w:u w:val="single" w:color="1F3863"/>
                </w:rPr>
                <w:t>Learning Management </w:t>
              </w:r>
              <w:r>
                <w:rPr>
                  <w:color w:val="1F3863"/>
                  <w:spacing w:val="3"/>
                  <w:sz w:val="22"/>
                  <w:u w:val="single" w:color="1F3863"/>
                </w:rPr>
                <w:t>System </w:t>
              </w:r>
              <w:r>
                <w:rPr>
                  <w:color w:val="1F3863"/>
                  <w:spacing w:val="4"/>
                  <w:sz w:val="22"/>
                  <w:u w:val="single" w:color="1F3863"/>
                </w:rPr>
                <w:t>(LMS)</w:t>
              </w:r>
              <w:r>
                <w:rPr>
                  <w:spacing w:val="4"/>
                  <w:sz w:val="22"/>
                </w:rPr>
                <w:t>.</w:t>
              </w:r>
            </w:hyperlink>
          </w:p>
          <w:p>
            <w:pPr>
              <w:pStyle w:val="TableParagraph"/>
              <w:numPr>
                <w:ilvl w:val="0"/>
                <w:numId w:val="2"/>
              </w:numPr>
              <w:tabs>
                <w:tab w:pos="817" w:val="left" w:leader="none"/>
                <w:tab w:pos="818" w:val="left" w:leader="none"/>
              </w:tabs>
              <w:spacing w:line="240" w:lineRule="auto" w:before="2" w:after="0"/>
              <w:ind w:left="817" w:right="0" w:hanging="361"/>
              <w:jc w:val="left"/>
              <w:rPr>
                <w:sz w:val="22"/>
              </w:rPr>
            </w:pPr>
            <w:r>
              <w:rPr>
                <w:color w:val="212121"/>
                <w:sz w:val="22"/>
              </w:rPr>
              <w:t>IMPACS Orientation, Dashboards, &amp;</w:t>
            </w:r>
            <w:r>
              <w:rPr>
                <w:color w:val="212121"/>
                <w:spacing w:val="-10"/>
                <w:sz w:val="22"/>
              </w:rPr>
              <w:t> </w:t>
            </w:r>
            <w:r>
              <w:rPr>
                <w:color w:val="212121"/>
                <w:sz w:val="22"/>
              </w:rPr>
              <w:t>Purchasing</w:t>
            </w:r>
          </w:p>
          <w:p>
            <w:pPr>
              <w:pStyle w:val="TableParagraph"/>
              <w:numPr>
                <w:ilvl w:val="0"/>
                <w:numId w:val="2"/>
              </w:numPr>
              <w:tabs>
                <w:tab w:pos="817" w:val="left" w:leader="none"/>
                <w:tab w:pos="818" w:val="left" w:leader="none"/>
              </w:tabs>
              <w:spacing w:line="240" w:lineRule="auto" w:before="10" w:after="0"/>
              <w:ind w:left="817" w:right="0" w:hanging="361"/>
              <w:jc w:val="left"/>
              <w:rPr>
                <w:sz w:val="22"/>
              </w:rPr>
            </w:pPr>
            <w:r>
              <w:rPr>
                <w:color w:val="212121"/>
                <w:sz w:val="22"/>
              </w:rPr>
              <w:t>IMPACS</w:t>
            </w:r>
            <w:r>
              <w:rPr>
                <w:color w:val="212121"/>
                <w:spacing w:val="-2"/>
                <w:sz w:val="22"/>
              </w:rPr>
              <w:t> </w:t>
            </w:r>
            <w:r>
              <w:rPr>
                <w:color w:val="212121"/>
                <w:sz w:val="22"/>
              </w:rPr>
              <w:t>Solicitations</w:t>
            </w:r>
          </w:p>
          <w:p>
            <w:pPr>
              <w:pStyle w:val="TableParagraph"/>
              <w:numPr>
                <w:ilvl w:val="0"/>
                <w:numId w:val="2"/>
              </w:numPr>
              <w:tabs>
                <w:tab w:pos="817" w:val="left" w:leader="none"/>
                <w:tab w:pos="818" w:val="left" w:leader="none"/>
              </w:tabs>
              <w:spacing w:line="240" w:lineRule="auto" w:before="12" w:after="0"/>
              <w:ind w:left="817" w:right="0" w:hanging="361"/>
              <w:jc w:val="left"/>
              <w:rPr>
                <w:sz w:val="22"/>
              </w:rPr>
            </w:pPr>
            <w:r>
              <w:rPr>
                <w:color w:val="212121"/>
                <w:sz w:val="22"/>
              </w:rPr>
              <w:t>IMPACS</w:t>
            </w:r>
            <w:r>
              <w:rPr>
                <w:color w:val="212121"/>
                <w:spacing w:val="-3"/>
                <w:sz w:val="22"/>
              </w:rPr>
              <w:t> </w:t>
            </w:r>
            <w:r>
              <w:rPr>
                <w:color w:val="212121"/>
                <w:sz w:val="22"/>
              </w:rPr>
              <w:t>Contracts</w:t>
            </w:r>
          </w:p>
          <w:p>
            <w:pPr>
              <w:pStyle w:val="TableParagraph"/>
              <w:tabs>
                <w:tab w:pos="9412" w:val="left" w:leader="none"/>
              </w:tabs>
              <w:spacing w:line="247" w:lineRule="auto" w:before="55"/>
              <w:ind w:left="97" w:right="307"/>
              <w:jc w:val="both"/>
              <w:rPr>
                <w:sz w:val="22"/>
              </w:rPr>
            </w:pPr>
            <w:r>
              <w:rPr>
                <w:b/>
                <w:color w:val="FFFFFF"/>
                <w:sz w:val="22"/>
                <w:shd w:fill="1F487C" w:color="auto" w:val="clear"/>
              </w:rPr>
              <w:t>I/3 Training for</w:t>
            </w:r>
            <w:r>
              <w:rPr>
                <w:b/>
                <w:color w:val="FFFFFF"/>
                <w:spacing w:val="-9"/>
                <w:sz w:val="22"/>
                <w:shd w:fill="1F487C" w:color="auto" w:val="clear"/>
              </w:rPr>
              <w:t> </w:t>
            </w:r>
            <w:r>
              <w:rPr>
                <w:b/>
                <w:color w:val="FFFFFF"/>
                <w:sz w:val="22"/>
                <w:shd w:fill="1F487C" w:color="auto" w:val="clear"/>
              </w:rPr>
              <w:t>Purchasing</w:t>
            </w:r>
            <w:r>
              <w:rPr>
                <w:b/>
                <w:color w:val="FFFFFF"/>
                <w:spacing w:val="-4"/>
                <w:sz w:val="22"/>
                <w:shd w:fill="1F487C" w:color="auto" w:val="clear"/>
              </w:rPr>
              <w:t> </w:t>
            </w:r>
            <w:r>
              <w:rPr>
                <w:b/>
                <w:color w:val="FFFFFF"/>
                <w:sz w:val="22"/>
                <w:shd w:fill="1F487C" w:color="auto" w:val="clear"/>
              </w:rPr>
              <w:t>Agents</w:t>
              <w:tab/>
            </w:r>
            <w:r>
              <w:rPr>
                <w:b/>
                <w:color w:val="FFFFFF"/>
                <w:sz w:val="22"/>
              </w:rPr>
              <w:t>                                                                                                                           </w:t>
            </w:r>
            <w:r>
              <w:rPr>
                <w:sz w:val="22"/>
              </w:rPr>
              <w:t>I/3 procurement training is required for purchasing agents (PA) and agency authorized purchasers (AAP) who use I/3 for procurement and at the level for which it will be used. Contact Karl Wendt to</w:t>
            </w:r>
            <w:r>
              <w:rPr>
                <w:spacing w:val="-28"/>
                <w:sz w:val="22"/>
              </w:rPr>
              <w:t> </w:t>
            </w:r>
            <w:r>
              <w:rPr>
                <w:sz w:val="22"/>
              </w:rPr>
              <w:t>request</w:t>
            </w:r>
          </w:p>
          <w:p>
            <w:pPr>
              <w:pStyle w:val="TableParagraph"/>
              <w:spacing w:line="245" w:lineRule="exact"/>
              <w:ind w:left="97"/>
              <w:jc w:val="both"/>
              <w:rPr>
                <w:sz w:val="22"/>
              </w:rPr>
            </w:pPr>
            <w:r>
              <w:rPr>
                <w:sz w:val="22"/>
              </w:rPr>
              <w:t>access to I/3 for procurement training.</w:t>
            </w:r>
          </w:p>
        </w:tc>
      </w:tr>
      <w:tr>
        <w:trPr>
          <w:trHeight w:val="5764" w:hRule="atLeast"/>
        </w:trPr>
        <w:tc>
          <w:tcPr>
            <w:tcW w:w="1426" w:type="dxa"/>
            <w:shd w:val="clear" w:color="auto" w:fill="001F5F"/>
          </w:tcPr>
          <w:p>
            <w:pPr>
              <w:pStyle w:val="TableParagraph"/>
              <w:spacing w:before="49"/>
              <w:ind w:left="105" w:right="163"/>
              <w:rPr>
                <w:b/>
                <w:sz w:val="22"/>
              </w:rPr>
            </w:pPr>
            <w:r>
              <w:rPr>
                <w:b/>
                <w:color w:val="FFFFFF"/>
                <w:sz w:val="22"/>
              </w:rPr>
              <w:t>Purchasing Card (Pcard) Program</w:t>
            </w:r>
          </w:p>
        </w:tc>
        <w:tc>
          <w:tcPr>
            <w:tcW w:w="9737" w:type="dxa"/>
          </w:tcPr>
          <w:p>
            <w:pPr>
              <w:pStyle w:val="TableParagraph"/>
              <w:spacing w:before="50"/>
              <w:ind w:left="85"/>
              <w:rPr>
                <w:b/>
                <w:sz w:val="28"/>
              </w:rPr>
            </w:pPr>
            <w:r>
              <w:rPr>
                <w:b/>
                <w:color w:val="800000"/>
                <w:sz w:val="28"/>
              </w:rPr>
              <w:t>Purchasing Card (Pcard) Program </w:t>
            </w:r>
            <w:r>
              <w:rPr>
                <w:color w:val="800000"/>
                <w:sz w:val="28"/>
              </w:rPr>
              <w:t>-</w:t>
            </w:r>
            <w:r>
              <w:rPr>
                <w:b/>
                <w:color w:val="800000"/>
                <w:sz w:val="28"/>
              </w:rPr>
              <w:t>Tech Tips for Pcard/Travel Card Training</w:t>
            </w:r>
          </w:p>
          <w:p>
            <w:pPr>
              <w:pStyle w:val="TableParagraph"/>
              <w:spacing w:before="1"/>
              <w:ind w:left="76"/>
              <w:rPr>
                <w:sz w:val="22"/>
              </w:rPr>
            </w:pPr>
            <w:r>
              <w:rPr>
                <w:sz w:val="22"/>
              </w:rPr>
              <w:t>Purchasing Card Program:</w:t>
            </w:r>
          </w:p>
          <w:p>
            <w:pPr>
              <w:pStyle w:val="TableParagraph"/>
              <w:spacing w:line="268" w:lineRule="exact"/>
              <w:ind w:left="76"/>
              <w:rPr>
                <w:sz w:val="22"/>
              </w:rPr>
            </w:pPr>
            <w:r>
              <w:rPr>
                <w:sz w:val="22"/>
              </w:rPr>
              <w:t>Moving Forward</w:t>
            </w:r>
          </w:p>
          <w:p>
            <w:pPr>
              <w:pStyle w:val="TableParagraph"/>
              <w:ind w:left="76" w:right="183"/>
              <w:rPr>
                <w:sz w:val="22"/>
              </w:rPr>
            </w:pPr>
            <w:r>
              <w:rPr>
                <w:sz w:val="22"/>
              </w:rPr>
              <w:t>We appreciate your participation in the State of Iowa Purchase Card Program! We are here to help support you. With all the changes moving forward, now is good time to review Pcard processes for Coordinators, Cardholders and Accounts Payable Representatives. Information is available on our website as well as access to the State of Iowa Purchasing Card Program Policy and Procedures and Access Online Guides for Cardholders and Agency Management.</w:t>
            </w:r>
          </w:p>
          <w:p>
            <w:pPr>
              <w:pStyle w:val="TableParagraph"/>
              <w:spacing w:before="4"/>
              <w:ind w:left="0"/>
              <w:rPr>
                <w:rFonts w:ascii="Times New Roman"/>
                <w:sz w:val="23"/>
              </w:rPr>
            </w:pPr>
          </w:p>
          <w:p>
            <w:pPr>
              <w:pStyle w:val="TableParagraph"/>
              <w:ind w:left="76"/>
              <w:rPr>
                <w:sz w:val="22"/>
              </w:rPr>
            </w:pPr>
            <w:r>
              <w:rPr>
                <w:sz w:val="22"/>
              </w:rPr>
              <w:t>Website: </w:t>
            </w:r>
            <w:hyperlink r:id="rId15">
              <w:r>
                <w:rPr>
                  <w:color w:val="1F3863"/>
                  <w:sz w:val="22"/>
                  <w:u w:val="single" w:color="1F3863"/>
                </w:rPr>
                <w:t>https://das.iowa.gov/procurement/agencies/state-iowa-purchasing-card-program</w:t>
              </w:r>
            </w:hyperlink>
          </w:p>
          <w:p>
            <w:pPr>
              <w:pStyle w:val="TableParagraph"/>
              <w:spacing w:before="4"/>
              <w:ind w:left="0"/>
              <w:rPr>
                <w:rFonts w:ascii="Times New Roman"/>
                <w:sz w:val="23"/>
              </w:rPr>
            </w:pPr>
          </w:p>
          <w:p>
            <w:pPr>
              <w:pStyle w:val="TableParagraph"/>
              <w:spacing w:before="1"/>
              <w:ind w:left="76" w:right="267"/>
              <w:rPr>
                <w:sz w:val="22"/>
              </w:rPr>
            </w:pPr>
            <w:r>
              <w:rPr>
                <w:sz w:val="22"/>
              </w:rPr>
              <w:t>Web Based Training is another good source of information available on US Bank’s Access Online website. There are specific topics for both Cardholders and Agency Administrators that provide information to help support the administration of your Pcard portfolio.</w:t>
            </w:r>
          </w:p>
          <w:p>
            <w:pPr>
              <w:pStyle w:val="TableParagraph"/>
              <w:spacing w:before="2"/>
              <w:ind w:left="0"/>
              <w:rPr>
                <w:rFonts w:ascii="Times New Roman"/>
                <w:sz w:val="23"/>
              </w:rPr>
            </w:pPr>
          </w:p>
          <w:p>
            <w:pPr>
              <w:pStyle w:val="TableParagraph"/>
              <w:ind w:left="76" w:right="451" w:hanging="1"/>
              <w:rPr>
                <w:sz w:val="22"/>
              </w:rPr>
            </w:pPr>
            <w:r>
              <w:rPr>
                <w:sz w:val="22"/>
              </w:rPr>
              <w:t>We look forward to this next Fiscal Year 2024 and we welcome hearing from you with any questions or assistance needed!</w:t>
            </w:r>
          </w:p>
          <w:p>
            <w:pPr>
              <w:pStyle w:val="TableParagraph"/>
              <w:spacing w:before="5"/>
              <w:ind w:left="0"/>
              <w:rPr>
                <w:rFonts w:ascii="Times New Roman"/>
                <w:sz w:val="23"/>
              </w:rPr>
            </w:pPr>
          </w:p>
          <w:p>
            <w:pPr>
              <w:pStyle w:val="TableParagraph"/>
              <w:ind w:left="76"/>
              <w:rPr>
                <w:sz w:val="22"/>
              </w:rPr>
            </w:pPr>
            <w:r>
              <w:rPr>
                <w:sz w:val="22"/>
              </w:rPr>
              <w:t>Your PCard Team!</w:t>
            </w:r>
          </w:p>
          <w:p>
            <w:pPr>
              <w:pStyle w:val="TableParagraph"/>
              <w:spacing w:before="5"/>
              <w:ind w:left="0"/>
              <w:rPr>
                <w:rFonts w:ascii="Times New Roman"/>
                <w:sz w:val="23"/>
              </w:rPr>
            </w:pPr>
          </w:p>
          <w:p>
            <w:pPr>
              <w:pStyle w:val="TableParagraph"/>
              <w:spacing w:line="249" w:lineRule="exact"/>
              <w:ind w:left="6"/>
              <w:rPr>
                <w:sz w:val="22"/>
              </w:rPr>
            </w:pPr>
            <w:r>
              <w:rPr>
                <w:sz w:val="22"/>
              </w:rPr>
              <w:t>Heather Johnson, Ph# 515-321-5284 and Jim Harris, Ph#515-745-2526</w:t>
            </w:r>
          </w:p>
        </w:tc>
      </w:tr>
      <w:tr>
        <w:trPr>
          <w:trHeight w:val="1789" w:hRule="atLeast"/>
        </w:trPr>
        <w:tc>
          <w:tcPr>
            <w:tcW w:w="11163" w:type="dxa"/>
            <w:gridSpan w:val="2"/>
            <w:shd w:val="clear" w:color="auto" w:fill="DBE4F0"/>
          </w:tcPr>
          <w:p>
            <w:pPr>
              <w:pStyle w:val="TableParagraph"/>
              <w:spacing w:before="49"/>
              <w:ind w:left="2000" w:right="2226"/>
              <w:jc w:val="center"/>
              <w:rPr>
                <w:b/>
                <w:sz w:val="22"/>
              </w:rPr>
            </w:pPr>
            <w:r>
              <w:rPr>
                <w:b/>
                <w:i/>
                <w:sz w:val="22"/>
              </w:rPr>
              <w:t>Procurement Source </w:t>
            </w:r>
            <w:r>
              <w:rPr>
                <w:b/>
                <w:sz w:val="22"/>
              </w:rPr>
              <w:t>is a quarterly publication by DAS Central Procurement.</w:t>
            </w:r>
          </w:p>
          <w:p>
            <w:pPr>
              <w:pStyle w:val="TableParagraph"/>
              <w:spacing w:before="128"/>
              <w:ind w:left="2000" w:right="2216"/>
              <w:jc w:val="center"/>
              <w:rPr>
                <w:sz w:val="22"/>
              </w:rPr>
            </w:pPr>
            <w:r>
              <w:rPr>
                <w:sz w:val="22"/>
              </w:rPr>
              <w:t>Email </w:t>
            </w:r>
            <w:hyperlink r:id="rId16">
              <w:r>
                <w:rPr>
                  <w:sz w:val="22"/>
                  <w:u w:val="single"/>
                </w:rPr>
                <w:t>Purchasing.Mailbox@iowa.gov</w:t>
              </w:r>
              <w:r>
                <w:rPr>
                  <w:sz w:val="22"/>
                </w:rPr>
                <w:t> </w:t>
              </w:r>
            </w:hyperlink>
            <w:r>
              <w:rPr>
                <w:sz w:val="22"/>
              </w:rPr>
              <w:t>with questions or suggestions.</w:t>
            </w:r>
          </w:p>
          <w:p>
            <w:pPr>
              <w:pStyle w:val="TableParagraph"/>
              <w:ind w:left="2000" w:right="2208"/>
              <w:jc w:val="center"/>
              <w:rPr>
                <w:sz w:val="22"/>
              </w:rPr>
            </w:pPr>
            <w:r>
              <w:rPr>
                <w:sz w:val="22"/>
              </w:rPr>
              <w:t>Share this </w:t>
            </w:r>
            <w:hyperlink r:id="rId17">
              <w:r>
                <w:rPr>
                  <w:sz w:val="22"/>
                  <w:u w:val="single"/>
                </w:rPr>
                <w:t>link</w:t>
              </w:r>
              <w:r>
                <w:rPr>
                  <w:sz w:val="22"/>
                </w:rPr>
                <w:t> </w:t>
              </w:r>
            </w:hyperlink>
            <w:r>
              <w:rPr>
                <w:sz w:val="22"/>
              </w:rPr>
              <w:t>with colleagues who may want to</w:t>
            </w:r>
            <w:r>
              <w:rPr>
                <w:spacing w:val="-11"/>
                <w:sz w:val="22"/>
              </w:rPr>
              <w:t> </w:t>
            </w:r>
            <w:r>
              <w:rPr>
                <w:sz w:val="22"/>
              </w:rPr>
              <w:t>subscribe.</w:t>
            </w:r>
          </w:p>
          <w:p>
            <w:pPr>
              <w:pStyle w:val="TableParagraph"/>
              <w:ind w:left="2409" w:right="2614" w:hanging="15"/>
              <w:jc w:val="center"/>
              <w:rPr>
                <w:sz w:val="22"/>
              </w:rPr>
            </w:pPr>
            <w:r>
              <w:rPr>
                <w:sz w:val="22"/>
              </w:rPr>
              <w:t>Visit the </w:t>
            </w:r>
            <w:hyperlink r:id="rId18">
              <w:r>
                <w:rPr>
                  <w:sz w:val="22"/>
                  <w:u w:val="single"/>
                </w:rPr>
                <w:t>DAS Central Procurement Website</w:t>
              </w:r>
              <w:r>
                <w:rPr>
                  <w:sz w:val="22"/>
                </w:rPr>
                <w:t> </w:t>
              </w:r>
            </w:hyperlink>
            <w:r>
              <w:rPr>
                <w:sz w:val="22"/>
              </w:rPr>
              <w:t>for more information. Contact a </w:t>
            </w:r>
            <w:hyperlink r:id="rId19">
              <w:r>
                <w:rPr>
                  <w:sz w:val="22"/>
                  <w:u w:val="single"/>
                </w:rPr>
                <w:t>DAS Central Procurement</w:t>
              </w:r>
              <w:r>
                <w:rPr>
                  <w:sz w:val="22"/>
                </w:rPr>
                <w:t> </w:t>
              </w:r>
            </w:hyperlink>
            <w:r>
              <w:rPr>
                <w:sz w:val="22"/>
              </w:rPr>
              <w:t>Purchasing Agent for assistance.</w:t>
            </w:r>
          </w:p>
          <w:p>
            <w:pPr>
              <w:pStyle w:val="TableParagraph"/>
              <w:spacing w:line="249" w:lineRule="exact" w:before="1"/>
              <w:ind w:left="2000" w:right="2159"/>
              <w:jc w:val="center"/>
              <w:rPr>
                <w:b/>
                <w:sz w:val="22"/>
              </w:rPr>
            </w:pPr>
            <w:r>
              <w:rPr>
                <w:b/>
                <w:sz w:val="22"/>
              </w:rPr>
              <w:t>Thank</w:t>
            </w:r>
            <w:r>
              <w:rPr>
                <w:b/>
                <w:spacing w:val="-1"/>
                <w:sz w:val="22"/>
              </w:rPr>
              <w:t> </w:t>
            </w:r>
            <w:r>
              <w:rPr>
                <w:b/>
                <w:sz w:val="22"/>
              </w:rPr>
              <w:t>you.</w:t>
            </w:r>
          </w:p>
        </w:tc>
      </w:tr>
    </w:tbl>
    <w:sectPr>
      <w:pgSz w:w="12240" w:h="15840"/>
      <w:pgMar w:header="0" w:footer="522" w:top="720" w:bottom="720" w:left="52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6.880005pt;margin-top:750.919983pt;width:11.6pt;height:13.05pt;mso-position-horizontal-relative:page;mso-position-vertical-relative:page;z-index:-251839488" type="#_x0000_t202" filled="false" stroked="false">
          <v:textbox inset="0,0,0,0">
            <w:txbxContent>
              <w:p>
                <w:pPr>
                  <w:pStyle w:val="BodyText"/>
                  <w:spacing w:line="245" w:lineRule="exact"/>
                  <w:ind w:left="60"/>
                </w:pPr>
                <w:r>
                  <w:rPr/>
                  <w:fldChar w:fldCharType="begin"/>
                </w:r>
                <w:r>
                  <w:rPr>
                    <w:w w:val="10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17" w:hanging="361"/>
      </w:pPr>
      <w:rPr>
        <w:rFonts w:hint="default" w:ascii="Arial" w:hAnsi="Arial" w:eastAsia="Arial" w:cs="Arial"/>
        <w:w w:val="100"/>
        <w:sz w:val="22"/>
        <w:szCs w:val="22"/>
        <w:lang w:val="en-us" w:eastAsia="en-us" w:bidi="en-us"/>
      </w:rPr>
    </w:lvl>
    <w:lvl w:ilvl="1">
      <w:start w:val="0"/>
      <w:numFmt w:val="bullet"/>
      <w:lvlText w:val="•"/>
      <w:lvlJc w:val="left"/>
      <w:pPr>
        <w:ind w:left="1710" w:hanging="361"/>
      </w:pPr>
      <w:rPr>
        <w:rFonts w:hint="default"/>
        <w:lang w:val="en-us" w:eastAsia="en-us" w:bidi="en-us"/>
      </w:rPr>
    </w:lvl>
    <w:lvl w:ilvl="2">
      <w:start w:val="0"/>
      <w:numFmt w:val="bullet"/>
      <w:lvlText w:val="•"/>
      <w:lvlJc w:val="left"/>
      <w:pPr>
        <w:ind w:left="2600" w:hanging="361"/>
      </w:pPr>
      <w:rPr>
        <w:rFonts w:hint="default"/>
        <w:lang w:val="en-us" w:eastAsia="en-us" w:bidi="en-us"/>
      </w:rPr>
    </w:lvl>
    <w:lvl w:ilvl="3">
      <w:start w:val="0"/>
      <w:numFmt w:val="bullet"/>
      <w:lvlText w:val="•"/>
      <w:lvlJc w:val="left"/>
      <w:pPr>
        <w:ind w:left="3490" w:hanging="361"/>
      </w:pPr>
      <w:rPr>
        <w:rFonts w:hint="default"/>
        <w:lang w:val="en-us" w:eastAsia="en-us" w:bidi="en-us"/>
      </w:rPr>
    </w:lvl>
    <w:lvl w:ilvl="4">
      <w:start w:val="0"/>
      <w:numFmt w:val="bullet"/>
      <w:lvlText w:val="•"/>
      <w:lvlJc w:val="left"/>
      <w:pPr>
        <w:ind w:left="4380" w:hanging="361"/>
      </w:pPr>
      <w:rPr>
        <w:rFonts w:hint="default"/>
        <w:lang w:val="en-us" w:eastAsia="en-us" w:bidi="en-us"/>
      </w:rPr>
    </w:lvl>
    <w:lvl w:ilvl="5">
      <w:start w:val="0"/>
      <w:numFmt w:val="bullet"/>
      <w:lvlText w:val="•"/>
      <w:lvlJc w:val="left"/>
      <w:pPr>
        <w:ind w:left="5271" w:hanging="361"/>
      </w:pPr>
      <w:rPr>
        <w:rFonts w:hint="default"/>
        <w:lang w:val="en-us" w:eastAsia="en-us" w:bidi="en-us"/>
      </w:rPr>
    </w:lvl>
    <w:lvl w:ilvl="6">
      <w:start w:val="0"/>
      <w:numFmt w:val="bullet"/>
      <w:lvlText w:val="•"/>
      <w:lvlJc w:val="left"/>
      <w:pPr>
        <w:ind w:left="6161" w:hanging="361"/>
      </w:pPr>
      <w:rPr>
        <w:rFonts w:hint="default"/>
        <w:lang w:val="en-us" w:eastAsia="en-us" w:bidi="en-us"/>
      </w:rPr>
    </w:lvl>
    <w:lvl w:ilvl="7">
      <w:start w:val="0"/>
      <w:numFmt w:val="bullet"/>
      <w:lvlText w:val="•"/>
      <w:lvlJc w:val="left"/>
      <w:pPr>
        <w:ind w:left="7051" w:hanging="361"/>
      </w:pPr>
      <w:rPr>
        <w:rFonts w:hint="default"/>
        <w:lang w:val="en-us" w:eastAsia="en-us" w:bidi="en-us"/>
      </w:rPr>
    </w:lvl>
    <w:lvl w:ilvl="8">
      <w:start w:val="0"/>
      <w:numFmt w:val="bullet"/>
      <w:lvlText w:val="•"/>
      <w:lvlJc w:val="left"/>
      <w:pPr>
        <w:ind w:left="7941" w:hanging="361"/>
      </w:pPr>
      <w:rPr>
        <w:rFonts w:hint="default"/>
        <w:lang w:val="en-us" w:eastAsia="en-us" w:bidi="en-us"/>
      </w:rPr>
    </w:lvl>
  </w:abstractNum>
  <w:abstractNum w:abstractNumId="0">
    <w:multiLevelType w:val="hybridMultilevel"/>
    <w:lvl w:ilvl="0">
      <w:start w:val="0"/>
      <w:numFmt w:val="bullet"/>
      <w:lvlText w:val="●"/>
      <w:lvlJc w:val="left"/>
      <w:pPr>
        <w:ind w:left="817" w:hanging="360"/>
      </w:pPr>
      <w:rPr>
        <w:rFonts w:hint="default"/>
        <w:w w:val="99"/>
        <w:lang w:val="en-us" w:eastAsia="en-us" w:bidi="en-us"/>
      </w:rPr>
    </w:lvl>
    <w:lvl w:ilvl="1">
      <w:start w:val="0"/>
      <w:numFmt w:val="bullet"/>
      <w:lvlText w:val="•"/>
      <w:lvlJc w:val="left"/>
      <w:pPr>
        <w:ind w:left="171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90" w:hanging="360"/>
      </w:pPr>
      <w:rPr>
        <w:rFonts w:hint="default"/>
        <w:lang w:val="en-us" w:eastAsia="en-us" w:bidi="en-us"/>
      </w:rPr>
    </w:lvl>
    <w:lvl w:ilvl="4">
      <w:start w:val="0"/>
      <w:numFmt w:val="bullet"/>
      <w:lvlText w:val="•"/>
      <w:lvlJc w:val="left"/>
      <w:pPr>
        <w:ind w:left="4380" w:hanging="360"/>
      </w:pPr>
      <w:rPr>
        <w:rFonts w:hint="default"/>
        <w:lang w:val="en-us" w:eastAsia="en-us" w:bidi="en-us"/>
      </w:rPr>
    </w:lvl>
    <w:lvl w:ilvl="5">
      <w:start w:val="0"/>
      <w:numFmt w:val="bullet"/>
      <w:lvlText w:val="•"/>
      <w:lvlJc w:val="left"/>
      <w:pPr>
        <w:ind w:left="5271" w:hanging="360"/>
      </w:pPr>
      <w:rPr>
        <w:rFonts w:hint="default"/>
        <w:lang w:val="en-us" w:eastAsia="en-us" w:bidi="en-us"/>
      </w:rPr>
    </w:lvl>
    <w:lvl w:ilvl="6">
      <w:start w:val="0"/>
      <w:numFmt w:val="bullet"/>
      <w:lvlText w:val="•"/>
      <w:lvlJc w:val="left"/>
      <w:pPr>
        <w:ind w:left="6161" w:hanging="360"/>
      </w:pPr>
      <w:rPr>
        <w:rFonts w:hint="default"/>
        <w:lang w:val="en-us" w:eastAsia="en-us" w:bidi="en-us"/>
      </w:rPr>
    </w:lvl>
    <w:lvl w:ilvl="7">
      <w:start w:val="0"/>
      <w:numFmt w:val="bullet"/>
      <w:lvlText w:val="•"/>
      <w:lvlJc w:val="left"/>
      <w:pPr>
        <w:ind w:left="7051" w:hanging="360"/>
      </w:pPr>
      <w:rPr>
        <w:rFonts w:hint="default"/>
        <w:lang w:val="en-us" w:eastAsia="en-us" w:bidi="en-us"/>
      </w:rPr>
    </w:lvl>
    <w:lvl w:ilvl="8">
      <w:start w:val="0"/>
      <w:numFmt w:val="bullet"/>
      <w:lvlText w:val="•"/>
      <w:lvlJc w:val="left"/>
      <w:pPr>
        <w:ind w:left="7941"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829"/>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karl.wendt@iowa.gov" TargetMode="External"/><Relationship Id="rId8" Type="http://schemas.openxmlformats.org/officeDocument/2006/relationships/hyperlink" Target="https://das.iowa.gov/procurement/ProcurementTraining" TargetMode="External"/><Relationship Id="rId9" Type="http://schemas.openxmlformats.org/officeDocument/2006/relationships/hyperlink" Target="https://lsglm700.learnsoft.com/LSGLM/Login/iowalogindas.aspx" TargetMode="External"/><Relationship Id="rId10" Type="http://schemas.openxmlformats.org/officeDocument/2006/relationships/hyperlink" Target="https://das.iowa.gov/human-resources/training-and-development/training-liaison/executive-branch" TargetMode="External"/><Relationship Id="rId11" Type="http://schemas.openxmlformats.org/officeDocument/2006/relationships/hyperlink" Target="https://www.canva.com/design/DAFiuEci81c/rCN9TZVjQ5GUAMYLqN_81g/view?utm_content=DAFiuEci81c&amp;utm_campaign=designshare&amp;utm_medium=link&amp;utm_source=publishsharelink" TargetMode="External"/><Relationship Id="rId12" Type="http://schemas.openxmlformats.org/officeDocument/2006/relationships/hyperlink" Target="http://www.nigp.org/" TargetMode="External"/><Relationship Id="rId13" Type="http://schemas.openxmlformats.org/officeDocument/2006/relationships/hyperlink" Target="https://www.ippanigp.org/" TargetMode="External"/><Relationship Id="rId14" Type="http://schemas.openxmlformats.org/officeDocument/2006/relationships/hyperlink" Target="https://das.iowa.gov/human-resources/training-and-development/state-iowa-learning-management-system" TargetMode="External"/><Relationship Id="rId15" Type="http://schemas.openxmlformats.org/officeDocument/2006/relationships/hyperlink" Target="https://das.iowa.gov/procurement/agencies/state-iowa-purchasing-card-program" TargetMode="External"/><Relationship Id="rId16" Type="http://schemas.openxmlformats.org/officeDocument/2006/relationships/hyperlink" Target="mailto:Purchasing.Mailbox@iowa.gov" TargetMode="External"/><Relationship Id="rId17" Type="http://schemas.openxmlformats.org/officeDocument/2006/relationships/hyperlink" Target="https://public.govdelivery.com/accounts/IACIO/subscriber/new?topic_id=IACIO_1036" TargetMode="External"/><Relationship Id="rId18" Type="http://schemas.openxmlformats.org/officeDocument/2006/relationships/hyperlink" Target="https://das.iowa.gov/procurement" TargetMode="External"/><Relationship Id="rId19" Type="http://schemas.openxmlformats.org/officeDocument/2006/relationships/hyperlink" Target="https://das.iowa.gov/procurement/cpe-fleet-contacts/procurement-contacts"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Forburger, Heather [DAS]</dc:creator>
  <dcterms:created xsi:type="dcterms:W3CDTF">2023-08-21T17:50:52Z</dcterms:created>
  <dcterms:modified xsi:type="dcterms:W3CDTF">2023-08-21T17:50:52Z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20 for Word</vt:lpwstr>
  </property>
  <property fmtid="{D5CDD505-2E9C-101B-9397-08002B2CF9AE}" pid="4" name="LastSaved">
    <vt:filetime>2023-08-21T00:00:00Z</vt:filetime>
  </property>
</Properties>
</file>