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Arial" w:hAnsi="Arial"/>
          <w:sz w:val="22"/>
          <w:szCs w:val="22"/>
        </w:rPr>
      </w:pPr>
      <w:r>
        <w:drawing xmlns:a="http://schemas.openxmlformats.org/drawingml/2006/main">
          <wp:anchor distT="57150" distB="57150" distL="57150" distR="57150" simplePos="0" relativeHeight="251659264" behindDoc="0" locked="0" layoutInCell="1" allowOverlap="1">
            <wp:simplePos x="0" y="0"/>
            <wp:positionH relativeFrom="column">
              <wp:posOffset>19684</wp:posOffset>
            </wp:positionH>
            <wp:positionV relativeFrom="line">
              <wp:posOffset>92709</wp:posOffset>
            </wp:positionV>
            <wp:extent cx="932815" cy="1088390"/>
            <wp:effectExtent l="0" t="0" r="0" b="0"/>
            <wp:wrapThrough wrapText="bothSides" distL="57150" distR="57150">
              <wp:wrapPolygon edited="1">
                <wp:start x="0" y="0"/>
                <wp:lineTo x="21600" y="0"/>
                <wp:lineTo x="21600" y="21600"/>
                <wp:lineTo x="0" y="21600"/>
                <wp:lineTo x="0" y="0"/>
              </wp:wrapPolygon>
            </wp:wrapThrough>
            <wp:docPr id="1073741825" name="officeArt object" descr="DAS_high_res"/>
            <wp:cNvGraphicFramePr/>
            <a:graphic xmlns:a="http://schemas.openxmlformats.org/drawingml/2006/main">
              <a:graphicData uri="http://schemas.openxmlformats.org/drawingml/2006/picture">
                <pic:pic xmlns:pic="http://schemas.openxmlformats.org/drawingml/2006/picture">
                  <pic:nvPicPr>
                    <pic:cNvPr id="1073741825" name="DAS_high_res" descr="DAS_high_res"/>
                    <pic:cNvPicPr>
                      <a:picLocks noChangeAspect="1"/>
                    </pic:cNvPicPr>
                  </pic:nvPicPr>
                  <pic:blipFill>
                    <a:blip r:embed="rId4">
                      <a:extLst/>
                    </a:blip>
                    <a:stretch>
                      <a:fillRect/>
                    </a:stretch>
                  </pic:blipFill>
                  <pic:spPr>
                    <a:xfrm>
                      <a:off x="0" y="0"/>
                      <a:ext cx="932815" cy="1088390"/>
                    </a:xfrm>
                    <a:prstGeom prst="rect">
                      <a:avLst/>
                    </a:prstGeom>
                    <a:ln w="12700" cap="flat">
                      <a:noFill/>
                      <a:miter lim="400000"/>
                    </a:ln>
                    <a:effectLst/>
                  </pic:spPr>
                </pic:pic>
              </a:graphicData>
            </a:graphic>
          </wp:anchor>
        </w:drawing>
      </w:r>
    </w:p>
    <w:p>
      <w:pPr>
        <w:pStyle w:val="Heading 3"/>
        <w:keepNext w:val="0"/>
        <w:tabs>
          <w:tab w:val="clear" w:pos="4680"/>
        </w:tabs>
        <w:ind w:left="1350" w:firstLine="0"/>
        <w:rPr>
          <w:rFonts w:ascii="Eras Bold ITC" w:cs="Eras Bold ITC" w:hAnsi="Eras Bold ITC" w:eastAsia="Eras Bold ITC"/>
        </w:rPr>
      </w:pPr>
    </w:p>
    <w:p>
      <w:pPr>
        <w:pStyle w:val="Heading 3"/>
        <w:keepNext w:val="0"/>
        <w:tabs>
          <w:tab w:val="clear" w:pos="4680"/>
        </w:tabs>
        <w:ind w:left="1350" w:firstLine="0"/>
        <w:rPr>
          <w:rFonts w:ascii="Eras Bold ITC" w:cs="Eras Bold ITC" w:hAnsi="Eras Bold ITC" w:eastAsia="Eras Bold ITC"/>
        </w:rPr>
      </w:pPr>
      <w:r>
        <w:rPr>
          <w:rFonts w:ascii="Eras Bold ITC" w:cs="Eras Bold ITC" w:hAnsi="Eras Bold ITC" w:eastAsia="Eras Bold ITC"/>
          <w:rtl w:val="0"/>
          <w:lang w:val="en-US"/>
        </w:rPr>
        <w:t>STATE OF IOWA</w:t>
      </w:r>
    </w:p>
    <w:p>
      <w:pPr>
        <w:pStyle w:val="Heading 3"/>
        <w:keepNext w:val="0"/>
        <w:tabs>
          <w:tab w:val="clear" w:pos="4680"/>
        </w:tabs>
        <w:ind w:left="1260" w:firstLine="0"/>
        <w:rPr>
          <w:sz w:val="22"/>
          <w:szCs w:val="22"/>
        </w:rPr>
      </w:pPr>
      <w:r>
        <w:rPr>
          <w:sz w:val="22"/>
          <w:szCs w:val="22"/>
          <w:rtl w:val="0"/>
          <w:lang w:val="en-US"/>
        </w:rPr>
        <w:t>Department of Administrative Services</w:t>
      </w:r>
    </w:p>
    <w:p>
      <w:pPr>
        <w:pStyle w:val="Heading 3"/>
        <w:keepNext w:val="0"/>
        <w:tabs>
          <w:tab w:val="clear" w:pos="4680"/>
        </w:tabs>
        <w:ind w:left="1080" w:firstLine="0"/>
        <w:rPr>
          <w:sz w:val="22"/>
          <w:szCs w:val="22"/>
        </w:rPr>
      </w:pPr>
    </w:p>
    <w:p>
      <w:pPr>
        <w:pStyle w:val="Heading 3"/>
        <w:keepNext w:val="0"/>
        <w:tabs>
          <w:tab w:val="clear" w:pos="4680"/>
        </w:tabs>
        <w:ind w:left="1260" w:firstLine="0"/>
        <w:rPr>
          <w:rFonts w:ascii="Eras Bold ITC" w:cs="Eras Bold ITC" w:hAnsi="Eras Bold ITC" w:eastAsia="Eras Bold ITC"/>
          <w:sz w:val="36"/>
          <w:szCs w:val="36"/>
        </w:rPr>
      </w:pPr>
      <w:r>
        <w:rPr>
          <w:rFonts w:ascii="Eras Bold ITC" w:cs="Eras Bold ITC" w:hAnsi="Eras Bold ITC" w:eastAsia="Eras Bold ITC"/>
          <w:sz w:val="36"/>
          <w:szCs w:val="36"/>
          <w:rtl w:val="0"/>
          <w:lang w:val="en-US"/>
        </w:rPr>
        <w:t>Calculation of Market Value Differential</w:t>
      </w:r>
    </w:p>
    <w:p>
      <w:pPr>
        <w:pStyle w:val="Body"/>
        <w:jc w:val="both"/>
        <w:rPr>
          <w:rFonts w:ascii="Arial" w:cs="Arial" w:hAnsi="Arial" w:eastAsia="Arial"/>
          <w:sz w:val="22"/>
          <w:szCs w:val="22"/>
        </w:rPr>
      </w:pPr>
    </w:p>
    <w:p>
      <w:pPr>
        <w:pStyle w:val="Body"/>
        <w:jc w:val="both"/>
        <w:rPr>
          <w:rFonts w:ascii="Arial" w:cs="Arial" w:hAnsi="Arial" w:eastAsia="Arial"/>
          <w:sz w:val="22"/>
          <w:szCs w:val="22"/>
        </w:rPr>
      </w:pP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This calculation computes the payment for market value differential.  The payment is made when the actual sale price obtained for the former residence is less than its estimated market value.  The amount of payment is 50% of the difference between the actual sale price and the estimated market value.</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Estimated market value is the average of two independent appraisals prepared by independent appraisers licensed in the state of residence.  However, if the appraiser</w:t>
      </w:r>
      <w:r>
        <w:rPr>
          <w:rFonts w:ascii="Arial" w:hAnsi="Arial" w:hint="default"/>
          <w:sz w:val="22"/>
          <w:szCs w:val="22"/>
          <w:rtl w:val="0"/>
          <w:lang w:val="en-US"/>
        </w:rPr>
        <w:t>’</w:t>
      </w:r>
      <w:r>
        <w:rPr>
          <w:rFonts w:ascii="Arial" w:hAnsi="Arial"/>
          <w:sz w:val="22"/>
          <w:szCs w:val="22"/>
          <w:rtl w:val="0"/>
          <w:lang w:val="en-US"/>
        </w:rPr>
        <w:t>s opinions of market value differ by more than 5%, a third appraisal will be obtained.  The market value estimate will then be the average of the three opinions.</w:t>
      </w:r>
    </w:p>
    <w:p>
      <w:pPr>
        <w:pStyle w:val="Body"/>
        <w:jc w:val="both"/>
        <w:rPr>
          <w:rFonts w:ascii="Arial" w:cs="Arial" w:hAnsi="Arial" w:eastAsia="Arial"/>
          <w:sz w:val="22"/>
          <w:szCs w:val="22"/>
        </w:rPr>
      </w:pPr>
    </w:p>
    <w:p>
      <w:pPr>
        <w:pStyle w:val="Body"/>
        <w:jc w:val="both"/>
        <w:rPr>
          <w:rFonts w:ascii="Arial" w:cs="Arial" w:hAnsi="Arial" w:eastAsia="Arial"/>
          <w:sz w:val="22"/>
          <w:szCs w:val="22"/>
        </w:rPr>
      </w:pPr>
    </w:p>
    <w:tbl>
      <w:tblPr>
        <w:tblW w:w="91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68"/>
        <w:gridCol w:w="1260"/>
        <w:gridCol w:w="1530"/>
        <w:gridCol w:w="270"/>
        <w:gridCol w:w="2112"/>
        <w:gridCol w:w="408"/>
        <w:gridCol w:w="1620"/>
        <w:gridCol w:w="582"/>
      </w:tblGrid>
      <w:tr>
        <w:tblPrEx>
          <w:shd w:val="clear" w:color="auto" w:fill="ced7e7"/>
        </w:tblPrEx>
        <w:trPr>
          <w:trHeight w:val="233"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heading 9"/>
              <w:jc w:val="center"/>
            </w:pPr>
            <w:r>
              <w:rPr>
                <w:b w:val="1"/>
                <w:bCs w:val="1"/>
                <w:shd w:val="nil" w:color="auto" w:fill="auto"/>
                <w:rtl w:val="0"/>
                <w:lang w:val="en-US"/>
              </w:rPr>
              <w:t>EXAMPLE</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u w:val="single"/>
                <w:shd w:val="nil" w:color="auto" w:fill="auto"/>
                <w:rtl w:val="0"/>
                <w:lang w:val="en-US"/>
              </w:rPr>
              <w:t>ACTUAL</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33"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pPr>
            <w:r>
              <w:rPr>
                <w:rFonts w:ascii="Arial" w:hAnsi="Arial"/>
                <w:b w:val="1"/>
                <w:bCs w:val="1"/>
                <w:sz w:val="22"/>
                <w:szCs w:val="22"/>
                <w:shd w:val="nil" w:color="auto" w:fill="auto"/>
                <w:rtl w:val="0"/>
                <w:lang w:val="en-US"/>
              </w:rPr>
              <w:t>Appraisal #1</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$110,000</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522"/>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pPr>
            <w:r>
              <w:rPr>
                <w:rFonts w:ascii="Arial" w:hAnsi="Arial"/>
                <w:b w:val="1"/>
                <w:bCs w:val="1"/>
                <w:sz w:val="22"/>
                <w:szCs w:val="22"/>
                <w:shd w:val="nil" w:color="auto" w:fill="auto"/>
                <w:rtl w:val="0"/>
                <w:lang w:val="en-US"/>
              </w:rPr>
              <w:t>Appraisal #2</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$100,000</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pPr>
            <w:r>
              <w:rPr>
                <w:rFonts w:ascii="Arial" w:hAnsi="Arial"/>
                <w:b w:val="1"/>
                <w:bCs w:val="1"/>
                <w:sz w:val="22"/>
                <w:szCs w:val="22"/>
                <w:shd w:val="nil" w:color="auto" w:fill="auto"/>
                <w:rtl w:val="0"/>
                <w:lang w:val="en-US"/>
              </w:rPr>
              <w:t>Difference</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$10,000</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522"/>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72" w:hRule="atLeast"/>
        </w:trPr>
        <w:tc>
          <w:tcPr>
            <w:tcW w:type="dxa" w:w="1368"/>
            <w:vMerge w:val="restart"/>
            <w:tcBorders>
              <w:top w:val="nil"/>
              <w:left w:val="nil"/>
              <w:bottom w:val="nil"/>
              <w:right w:val="nil"/>
            </w:tcBorders>
            <w:shd w:val="clear" w:color="auto" w:fill="auto"/>
            <w:tcMar>
              <w:top w:type="dxa" w:w="80"/>
              <w:left w:type="dxa" w:w="80"/>
              <w:bottom w:type="dxa" w:w="80"/>
              <w:right w:type="dxa" w:w="80"/>
            </w:tcMar>
            <w:vAlign w:val="top"/>
          </w:tcPr>
          <w:p>
            <w:pPr>
              <w:pStyle w:val="Heading 2"/>
              <w:rPr>
                <w:shd w:val="nil" w:color="auto" w:fill="auto"/>
              </w:rPr>
            </w:pPr>
            <w:r>
              <w:rPr>
                <w:shd w:val="nil" w:color="auto" w:fill="auto"/>
                <w:rtl w:val="0"/>
                <w:lang w:val="en-US"/>
              </w:rPr>
              <w:t>Percent</w:t>
            </w:r>
          </w:p>
          <w:p>
            <w:pPr>
              <w:pStyle w:val="Heading 2"/>
              <w:bidi w:val="0"/>
              <w:spacing w:before="0"/>
              <w:ind w:left="0" w:right="0" w:firstLine="0"/>
              <w:jc w:val="left"/>
              <w:rPr>
                <w:rtl w:val="0"/>
              </w:rPr>
            </w:pPr>
            <w:r>
              <w:rPr>
                <w:shd w:val="nil" w:color="auto" w:fill="auto"/>
                <w:rtl w:val="0"/>
                <w:lang w:val="en-US"/>
              </w:rPr>
              <w:t>Difference</w:t>
            </w:r>
          </w:p>
        </w:tc>
        <w:tc>
          <w:tcPr>
            <w:tcW w:type="dxa" w:w="1260"/>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spacing w:before="120"/>
              <w:jc w:val="center"/>
              <w:rPr>
                <w:rFonts w:ascii="Arial" w:cs="Arial" w:hAnsi="Arial" w:eastAsia="Arial"/>
                <w:b w:val="1"/>
                <w:bCs w:val="1"/>
                <w:sz w:val="22"/>
                <w:szCs w:val="22"/>
                <w:u w:val="single"/>
                <w:shd w:val="nil" w:color="auto" w:fill="auto"/>
              </w:rPr>
            </w:pPr>
            <w:r>
              <w:rPr>
                <w:rFonts w:ascii="Arial" w:hAnsi="Arial"/>
                <w:b w:val="1"/>
                <w:bCs w:val="1"/>
                <w:sz w:val="22"/>
                <w:szCs w:val="22"/>
                <w:u w:val="single"/>
                <w:shd w:val="nil" w:color="auto" w:fill="auto"/>
                <w:rtl w:val="0"/>
                <w:lang w:val="en-US"/>
              </w:rPr>
              <w:t>$10,000</w:t>
            </w:r>
          </w:p>
          <w:p>
            <w:pPr>
              <w:pStyle w:val="Body"/>
              <w:bidi w:val="0"/>
              <w:ind w:left="0" w:right="0" w:firstLine="0"/>
              <w:jc w:val="center"/>
              <w:rPr>
                <w:rtl w:val="0"/>
              </w:rPr>
            </w:pPr>
            <w:r>
              <w:rPr>
                <w:rFonts w:ascii="Arial" w:hAnsi="Arial"/>
                <w:b w:val="1"/>
                <w:bCs w:val="1"/>
                <w:sz w:val="22"/>
                <w:szCs w:val="22"/>
                <w:shd w:val="nil" w:color="auto" w:fill="auto"/>
                <w:rtl w:val="0"/>
                <w:lang w:val="en-US"/>
              </w:rPr>
              <w:t>$100,000</w:t>
            </w:r>
          </w:p>
        </w:tc>
        <w:tc>
          <w:tcPr>
            <w:tcW w:type="dxa" w:w="1530"/>
            <w:vMerge w:val="restart"/>
            <w:tcBorders>
              <w:top w:val="nil"/>
              <w:left w:val="nil"/>
              <w:bottom w:val="nil"/>
              <w:right w:val="nil"/>
            </w:tcBorders>
            <w:shd w:val="clear" w:color="auto" w:fill="auto"/>
            <w:tcMar>
              <w:top w:type="dxa" w:w="80"/>
              <w:left w:type="dxa" w:w="152"/>
              <w:bottom w:type="dxa" w:w="80"/>
              <w:right w:type="dxa" w:w="80"/>
            </w:tcMar>
            <w:vAlign w:val="top"/>
          </w:tcPr>
          <w:p>
            <w:pPr>
              <w:pStyle w:val="Body"/>
              <w:spacing w:before="180"/>
              <w:ind w:left="72" w:firstLine="0"/>
            </w:pPr>
            <w:r>
              <w:rPr>
                <w:rFonts w:ascii="Arial" w:hAnsi="Arial"/>
                <w:b w:val="1"/>
                <w:bCs w:val="1"/>
                <w:sz w:val="22"/>
                <w:szCs w:val="22"/>
                <w:shd w:val="nil" w:color="auto" w:fill="auto"/>
                <w:rtl w:val="0"/>
                <w:lang w:val="en-US"/>
              </w:rPr>
              <w:t>X 100 =</w:t>
            </w:r>
          </w:p>
        </w:tc>
        <w:tc>
          <w:tcPr>
            <w:tcW w:type="dxa" w:w="270"/>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2112"/>
            <w:vMerge w:val="restart"/>
            <w:tcBorders>
              <w:top w:val="nil"/>
              <w:left w:val="nil"/>
              <w:bottom w:val="nil"/>
              <w:right w:val="nil"/>
            </w:tcBorders>
            <w:shd w:val="clear" w:color="auto" w:fill="auto"/>
            <w:tcMar>
              <w:top w:type="dxa" w:w="80"/>
              <w:left w:type="dxa" w:w="80"/>
              <w:bottom w:type="dxa" w:w="80"/>
              <w:right w:type="dxa" w:w="80"/>
            </w:tcMar>
            <w:vAlign w:val="top"/>
          </w:tcPr>
          <w:p>
            <w:pPr>
              <w:pStyle w:val="Body"/>
              <w:spacing w:before="180"/>
              <w:jc w:val="center"/>
            </w:pPr>
            <w:r>
              <w:rPr>
                <w:rFonts w:ascii="Arial" w:hAnsi="Arial"/>
                <w:b w:val="1"/>
                <w:bCs w:val="1"/>
                <w:sz w:val="22"/>
                <w:szCs w:val="22"/>
                <w:shd w:val="nil" w:color="auto" w:fill="auto"/>
                <w:rtl w:val="0"/>
                <w:lang w:val="en-US"/>
              </w:rPr>
              <w:t>10% (exceeds 5%)</w:t>
            </w:r>
          </w:p>
        </w:tc>
        <w:tc>
          <w:tcPr>
            <w:tcW w:type="dxa" w:w="408"/>
            <w:vMerge w:val="restart"/>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792"/>
              </w:tabs>
              <w:jc w:val="center"/>
            </w:pPr>
            <w:r>
              <w:rPr>
                <w:rFonts w:ascii="Arial" w:hAnsi="Arial" w:hint="default"/>
                <w:sz w:val="22"/>
                <w:szCs w:val="22"/>
                <w:shd w:val="nil" w:color="auto" w:fill="auto"/>
                <w:rtl w:val="0"/>
              </w:rPr>
              <w:t>     </w:t>
            </w:r>
            <w:r>
              <w:rPr>
                <w:rFonts w:ascii="Arial" w:hAnsi="Arial"/>
                <w:sz w:val="22"/>
                <w:szCs w:val="22"/>
                <w:shd w:val="nil" w:color="auto" w:fill="auto"/>
                <w:rtl w:val="0"/>
                <w:lang w:val="en-US"/>
              </w:rPr>
              <w:t>%</w:t>
            </w:r>
          </w:p>
        </w:tc>
        <w:tc>
          <w:tcPr>
            <w:tcW w:type="dxa" w:w="582"/>
            <w:vMerge w:val="restart"/>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1368"/>
            <w:vMerge w:val="continue"/>
            <w:tcBorders>
              <w:top w:val="nil"/>
              <w:left w:val="nil"/>
              <w:bottom w:val="nil"/>
              <w:right w:val="nil"/>
            </w:tcBorders>
            <w:shd w:val="clear" w:color="auto" w:fill="auto"/>
          </w:tcPr>
          <w:p/>
        </w:tc>
        <w:tc>
          <w:tcPr>
            <w:tcW w:type="dxa" w:w="1260"/>
            <w:vMerge w:val="continue"/>
            <w:tcBorders>
              <w:top w:val="nil"/>
              <w:left w:val="nil"/>
              <w:bottom w:val="nil"/>
              <w:right w:val="nil"/>
            </w:tcBorders>
            <w:shd w:val="clear" w:color="auto" w:fill="auto"/>
          </w:tcPr>
          <w:p/>
        </w:tc>
        <w:tc>
          <w:tcPr>
            <w:tcW w:type="dxa" w:w="1530"/>
            <w:vMerge w:val="continue"/>
            <w:tcBorders>
              <w:top w:val="nil"/>
              <w:left w:val="nil"/>
              <w:bottom w:val="nil"/>
              <w:right w:val="nil"/>
            </w:tcBorders>
            <w:shd w:val="clear" w:color="auto" w:fill="auto"/>
          </w:tcPr>
          <w:p/>
        </w:tc>
        <w:tc>
          <w:tcPr>
            <w:tcW w:type="dxa" w:w="270"/>
            <w:vMerge w:val="continue"/>
            <w:tcBorders>
              <w:top w:val="nil"/>
              <w:left w:val="nil"/>
              <w:bottom w:val="nil"/>
              <w:right w:val="nil"/>
            </w:tcBorders>
            <w:shd w:val="clear" w:color="auto" w:fill="auto"/>
          </w:tcPr>
          <w:p/>
        </w:tc>
        <w:tc>
          <w:tcPr>
            <w:tcW w:type="dxa" w:w="2112"/>
            <w:vMerge w:val="continue"/>
            <w:tcBorders>
              <w:top w:val="nil"/>
              <w:left w:val="nil"/>
              <w:bottom w:val="nil"/>
              <w:right w:val="nil"/>
            </w:tcBorders>
            <w:shd w:val="clear" w:color="auto" w:fill="auto"/>
          </w:tcPr>
          <w:p/>
        </w:tc>
        <w:tc>
          <w:tcPr>
            <w:tcW w:type="dxa" w:w="408"/>
            <w:vMerge w:val="continue"/>
            <w:tcBorders>
              <w:top w:val="nil"/>
              <w:left w:val="nil"/>
              <w:bottom w:val="nil"/>
              <w:right w:val="nil"/>
            </w:tcBorders>
            <w:shd w:val="clear" w:color="auto" w:fill="auto"/>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center"/>
          </w:tcPr>
          <w:p/>
        </w:tc>
        <w:tc>
          <w:tcPr>
            <w:tcW w:type="dxa" w:w="582"/>
            <w:vMerge w:val="continue"/>
            <w:tcBorders>
              <w:top w:val="nil"/>
              <w:left w:val="nil"/>
              <w:bottom w:val="nil"/>
              <w:right w:val="nil"/>
            </w:tcBorders>
            <w:shd w:val="clear" w:color="auto" w:fill="auto"/>
          </w:tcPr>
          <w:p/>
        </w:tc>
      </w:tr>
      <w:tr>
        <w:tblPrEx>
          <w:shd w:val="clear" w:color="auto" w:fill="ced7e7"/>
        </w:tblPrEx>
        <w:trPr>
          <w:trHeight w:val="233"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8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Appraisal #3</w:t>
            </w:r>
          </w:p>
          <w:p>
            <w:pPr>
              <w:pStyle w:val="Body"/>
              <w:bidi w:val="0"/>
              <w:ind w:left="0" w:right="0" w:firstLine="0"/>
              <w:jc w:val="left"/>
              <w:rPr>
                <w:rtl w:val="0"/>
              </w:rPr>
            </w:pPr>
            <w:r>
              <w:rPr>
                <w:rFonts w:ascii="Arial" w:hAnsi="Arial"/>
                <w:b w:val="1"/>
                <w:bCs w:val="1"/>
                <w:sz w:val="22"/>
                <w:szCs w:val="22"/>
                <w:shd w:val="nil" w:color="auto" w:fill="auto"/>
                <w:rtl w:val="0"/>
                <w:lang w:val="en-US"/>
              </w:rPr>
              <w:t>(since % difference exceeds 5%)</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$103,000</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612"/>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8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Estimated Market Value</w:t>
            </w:r>
          </w:p>
          <w:p>
            <w:pPr>
              <w:pStyle w:val="Body"/>
              <w:bidi w:val="0"/>
              <w:ind w:left="0" w:right="0" w:firstLine="0"/>
              <w:jc w:val="left"/>
              <w:rPr>
                <w:rtl w:val="0"/>
              </w:rPr>
            </w:pPr>
            <w:r>
              <w:rPr>
                <w:rFonts w:ascii="Arial" w:hAnsi="Arial"/>
                <w:b w:val="1"/>
                <w:bCs w:val="1"/>
                <w:sz w:val="22"/>
                <w:szCs w:val="22"/>
                <w:shd w:val="nil" w:color="auto" w:fill="auto"/>
                <w:rtl w:val="0"/>
                <w:lang w:val="en-US"/>
              </w:rPr>
              <w:t>(average of appraisals)</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$104,333</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612"/>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pPr>
            <w:r>
              <w:rPr>
                <w:rFonts w:ascii="Arial" w:hAnsi="Arial"/>
                <w:b w:val="1"/>
                <w:bCs w:val="1"/>
                <w:sz w:val="22"/>
                <w:szCs w:val="22"/>
                <w:shd w:val="nil" w:color="auto" w:fill="auto"/>
                <w:rtl w:val="0"/>
                <w:lang w:val="en-US"/>
              </w:rPr>
              <w:t>Actual Sale Price</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$97,000</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612"/>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8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Market Value Differential</w:t>
            </w:r>
          </w:p>
          <w:p>
            <w:pPr>
              <w:pStyle w:val="Body"/>
              <w:bidi w:val="0"/>
              <w:ind w:left="0" w:right="0" w:firstLine="0"/>
              <w:jc w:val="left"/>
              <w:rPr>
                <w:rtl w:val="0"/>
              </w:rPr>
            </w:pPr>
            <w:r>
              <w:rPr>
                <w:rFonts w:ascii="Arial" w:hAnsi="Arial"/>
                <w:b w:val="1"/>
                <w:bCs w:val="1"/>
                <w:sz w:val="22"/>
                <w:szCs w:val="22"/>
                <w:shd w:val="nil" w:color="auto" w:fill="auto"/>
                <w:rtl w:val="0"/>
                <w:lang w:val="en-US"/>
              </w:rPr>
              <w:t>($104,333 - $97,000)</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$7,333</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612"/>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single" w:color="000000" w:sz="6" w:space="0" w:shadow="0" w:frame="0"/>
              <w:left w:val="nil"/>
              <w:bottom w:val="nil"/>
              <w:right w:val="nil"/>
            </w:tcBorders>
            <w:shd w:val="clear" w:color="auto" w:fill="auto"/>
            <w:tcMar>
              <w:top w:type="dxa" w:w="80"/>
              <w:left w:type="dxa" w:w="80"/>
              <w:bottom w:type="dxa" w:w="80"/>
              <w:right w:type="dxa" w:w="80"/>
            </w:tcMar>
            <w:vAlign w:val="bottom"/>
          </w:tcP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80" w:hRule="atLeast"/>
        </w:trPr>
        <w:tc>
          <w:tcPr>
            <w:tcW w:type="dxa" w:w="4158"/>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Payment for Market Value Differential</w:t>
            </w:r>
          </w:p>
          <w:p>
            <w:pPr>
              <w:pStyle w:val="Body"/>
              <w:bidi w:val="0"/>
              <w:ind w:left="0" w:right="0" w:firstLine="0"/>
              <w:jc w:val="left"/>
              <w:rPr>
                <w:rtl w:val="0"/>
              </w:rPr>
            </w:pPr>
            <w:r>
              <w:rPr>
                <w:rFonts w:ascii="Arial" w:hAnsi="Arial"/>
                <w:b w:val="1"/>
                <w:bCs w:val="1"/>
                <w:sz w:val="22"/>
                <w:szCs w:val="22"/>
                <w:shd w:val="nil" w:color="auto" w:fill="auto"/>
                <w:rtl w:val="0"/>
                <w:lang w:val="en-US"/>
              </w:rPr>
              <w:t>($7,333 X 50%)</w:t>
            </w:r>
          </w:p>
        </w:tc>
        <w:tc>
          <w:tcPr>
            <w:tcW w:type="dxa" w:w="270"/>
            <w:tcBorders>
              <w:top w:val="nil"/>
              <w:left w:val="nil"/>
              <w:bottom w:val="nil"/>
              <w:right w:val="nil"/>
            </w:tcBorders>
            <w:shd w:val="clear" w:color="auto" w:fill="auto"/>
            <w:tcMar>
              <w:top w:type="dxa" w:w="80"/>
              <w:left w:type="dxa" w:w="80"/>
              <w:bottom w:type="dxa" w:w="80"/>
              <w:right w:type="dxa" w:w="80"/>
            </w:tcMar>
            <w:vAlign w:val="bottom"/>
          </w:tcPr>
          <w:p/>
        </w:tc>
        <w:tc>
          <w:tcPr>
            <w:tcW w:type="dxa" w:w="2112"/>
            <w:tcBorders>
              <w:top w:val="nil"/>
              <w:left w:val="nil"/>
              <w:bottom w:val="nil"/>
              <w:right w:val="nil"/>
            </w:tcBorders>
            <w:shd w:val="clear" w:color="auto" w:fill="auto"/>
            <w:tcMar>
              <w:top w:type="dxa" w:w="80"/>
              <w:left w:type="dxa" w:w="80"/>
              <w:bottom w:type="dxa" w:w="80"/>
              <w:right w:type="dxa" w:w="80"/>
            </w:tcMar>
            <w:vAlign w:val="bottom"/>
          </w:tcPr>
          <w:p>
            <w:pPr>
              <w:pStyle w:val="Body"/>
              <w:jc w:val="center"/>
            </w:pPr>
            <w:r>
              <w:rPr>
                <w:rFonts w:ascii="Arial" w:hAnsi="Arial"/>
                <w:b w:val="1"/>
                <w:bCs w:val="1"/>
                <w:sz w:val="22"/>
                <w:szCs w:val="22"/>
                <w:shd w:val="nil" w:color="auto" w:fill="auto"/>
                <w:rtl w:val="0"/>
                <w:lang w:val="en-US"/>
              </w:rPr>
              <w:t>$3,666</w:t>
            </w:r>
          </w:p>
        </w:tc>
        <w:tc>
          <w:tcPr>
            <w:tcW w:type="dxa" w:w="408"/>
            <w:tcBorders>
              <w:top w:val="nil"/>
              <w:left w:val="nil"/>
              <w:bottom w:val="nil"/>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Body"/>
              <w:tabs>
                <w:tab w:val="decimal" w:pos="597"/>
              </w:tabs>
              <w:jc w:val="center"/>
            </w:pPr>
            <w:r>
              <w:rPr>
                <w:rFonts w:ascii="Arial" w:hAnsi="Arial"/>
                <w:sz w:val="22"/>
                <w:szCs w:val="22"/>
                <w:shd w:val="nil" w:color="auto" w:fill="auto"/>
                <w:rtl w:val="0"/>
                <w:lang w:val="en-US"/>
              </w:rPr>
              <w:t>$</w:t>
            </w:r>
            <w:r>
              <w:rPr>
                <w:rFonts w:ascii="Arial" w:hAnsi="Arial" w:hint="default"/>
                <w:sz w:val="22"/>
                <w:szCs w:val="22"/>
                <w:shd w:val="nil" w:color="auto" w:fill="auto"/>
                <w:rtl w:val="0"/>
              </w:rPr>
              <w:t>     </w:t>
            </w:r>
          </w:p>
        </w:tc>
        <w:tc>
          <w:tcPr>
            <w:tcW w:type="dxa" w:w="582"/>
            <w:tcBorders>
              <w:top w:val="nil"/>
              <w:left w:val="nil"/>
              <w:bottom w:val="nil"/>
              <w:right w:val="nil"/>
            </w:tcBorders>
            <w:shd w:val="clear" w:color="auto" w:fill="auto"/>
            <w:tcMar>
              <w:top w:type="dxa" w:w="80"/>
              <w:left w:type="dxa" w:w="80"/>
              <w:bottom w:type="dxa" w:w="80"/>
              <w:right w:type="dxa" w:w="80"/>
            </w:tcMar>
            <w:vAlign w:val="bottom"/>
          </w:tcPr>
          <w:p/>
        </w:tc>
      </w:tr>
    </w:tbl>
    <w:p>
      <w:pPr>
        <w:pStyle w:val="Body"/>
        <w:widowControl w:val="0"/>
        <w:jc w:val="both"/>
        <w:rPr>
          <w:rFonts w:ascii="Arial" w:cs="Arial" w:hAnsi="Arial" w:eastAsia="Arial"/>
          <w:sz w:val="22"/>
          <w:szCs w:val="22"/>
        </w:rPr>
      </w:pPr>
    </w:p>
    <w:p>
      <w:pPr>
        <w:pStyle w:val="Body"/>
        <w:jc w:val="both"/>
        <w:rPr>
          <w:rFonts w:ascii="Arial" w:cs="Arial" w:hAnsi="Arial" w:eastAsia="Arial"/>
          <w:sz w:val="22"/>
          <w:szCs w:val="22"/>
        </w:rPr>
      </w:pPr>
    </w:p>
    <w:p>
      <w:pPr>
        <w:pStyle w:val="Body"/>
        <w:jc w:val="both"/>
        <w:rPr>
          <w:rFonts w:ascii="Arial" w:cs="Arial" w:hAnsi="Arial" w:eastAsia="Arial"/>
          <w:sz w:val="22"/>
          <w:szCs w:val="22"/>
        </w:rPr>
      </w:pPr>
    </w:p>
    <w:p>
      <w:pPr>
        <w:pStyle w:val="Body"/>
        <w:jc w:val="both"/>
        <w:rPr>
          <w:rFonts w:ascii="Arial" w:cs="Arial" w:hAnsi="Arial" w:eastAsia="Arial"/>
          <w:sz w:val="22"/>
          <w:szCs w:val="22"/>
        </w:rPr>
      </w:pPr>
    </w:p>
    <w:p>
      <w:pPr>
        <w:pStyle w:val="Body"/>
        <w:jc w:val="both"/>
      </w:pPr>
      <w:r>
        <w:rPr>
          <w:rFonts w:ascii="Arial" w:hAnsi="Arial"/>
          <w:sz w:val="22"/>
          <w:szCs w:val="22"/>
          <w:rtl w:val="0"/>
          <w:lang w:val="de-DE"/>
        </w:rPr>
        <w:t>CFN 552-0704  R 03/11</w:t>
      </w:r>
    </w:p>
    <w:sectPr>
      <w:headerReference w:type="default" r:id="rId5"/>
      <w:footerReference w:type="default" r:id="rId6"/>
      <w:pgSz w:w="12240" w:h="15840" w:orient="portrait"/>
      <w:pgMar w:top="720" w:right="1440" w:bottom="432" w:left="144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Eras Bold IT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0"/>
      <w:shd w:val="clear" w:color="auto" w:fill="auto"/>
      <w:tabs>
        <w:tab w:val="center" w:pos="4680"/>
      </w:tabs>
      <w:suppressAutoHyphens w:val="0"/>
      <w:bidi w:val="0"/>
      <w:spacing w:before="0" w:after="0" w:line="240" w:lineRule="auto"/>
      <w:ind w:left="0" w:right="0" w:firstLine="0"/>
      <w:jc w:val="center"/>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9">
    <w:name w:val="heading 9"/>
    <w:next w:val="Body"/>
    <w:pPr>
      <w:keepNext w:val="1"/>
      <w:keepLines w:val="0"/>
      <w:pageBreakBefore w:val="0"/>
      <w:widowControl w:val="0"/>
      <w:shd w:val="clear" w:color="auto" w:fill="auto"/>
      <w:suppressAutoHyphens w:val="0"/>
      <w:bidi w:val="0"/>
      <w:spacing w:before="0" w:after="0" w:line="240" w:lineRule="auto"/>
      <w:ind w:left="0" w:right="0" w:firstLine="0"/>
      <w:jc w:val="both"/>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120" w:after="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