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6C1" w:rsidRDefault="00593562">
      <w:pPr>
        <w:spacing w:line="240" w:lineRule="auto"/>
        <w:jc w:val="center"/>
        <w:rPr>
          <w:rFonts w:ascii="Calibri" w:eastAsia="Calibri" w:hAnsi="Calibri" w:cs="Calibri"/>
          <w:b/>
          <w:sz w:val="40"/>
          <w:szCs w:val="40"/>
        </w:rPr>
      </w:pPr>
      <w:r>
        <w:rPr>
          <w:rFonts w:ascii="Calibri" w:eastAsia="Calibri" w:hAnsi="Calibri" w:cs="Calibri"/>
          <w:noProof/>
          <w:sz w:val="20"/>
          <w:szCs w:val="20"/>
        </w:rPr>
        <w:drawing>
          <wp:anchor distT="0" distB="0" distL="114300" distR="114300" simplePos="0" relativeHeight="251658240" behindDoc="0" locked="0" layoutInCell="1" hidden="0" allowOverlap="1">
            <wp:simplePos x="0" y="0"/>
            <wp:positionH relativeFrom="margin">
              <wp:posOffset>0</wp:posOffset>
            </wp:positionH>
            <wp:positionV relativeFrom="page">
              <wp:posOffset>203200</wp:posOffset>
            </wp:positionV>
            <wp:extent cx="1714866" cy="719138"/>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4866" cy="719138"/>
                    </a:xfrm>
                    <a:prstGeom prst="rect">
                      <a:avLst/>
                    </a:prstGeom>
                    <a:ln/>
                  </pic:spPr>
                </pic:pic>
              </a:graphicData>
            </a:graphic>
          </wp:anchor>
        </w:drawing>
      </w:r>
      <w:r>
        <w:rPr>
          <w:rFonts w:ascii="Calibri" w:eastAsia="Calibri" w:hAnsi="Calibri" w:cs="Calibri"/>
          <w:b/>
          <w:sz w:val="28"/>
          <w:szCs w:val="28"/>
        </w:rPr>
        <w:t xml:space="preserve"> </w:t>
      </w:r>
      <w:r>
        <w:rPr>
          <w:rFonts w:ascii="Calibri" w:eastAsia="Calibri" w:hAnsi="Calibri" w:cs="Calibri"/>
          <w:b/>
          <w:sz w:val="40"/>
          <w:szCs w:val="40"/>
        </w:rPr>
        <w:t xml:space="preserve">SICK LEAVE INSURANCE PROGRAM </w:t>
      </w:r>
    </w:p>
    <w:p w:rsidR="00AF76C1" w:rsidRDefault="00593562">
      <w:pPr>
        <w:spacing w:line="240" w:lineRule="auto"/>
        <w:jc w:val="center"/>
        <w:rPr>
          <w:rFonts w:ascii="Calibri" w:eastAsia="Calibri" w:hAnsi="Calibri" w:cs="Calibri"/>
          <w:b/>
          <w:sz w:val="40"/>
          <w:szCs w:val="40"/>
        </w:rPr>
      </w:pPr>
      <w:r>
        <w:rPr>
          <w:rFonts w:ascii="Calibri" w:eastAsia="Calibri" w:hAnsi="Calibri" w:cs="Calibri"/>
          <w:b/>
          <w:sz w:val="40"/>
          <w:szCs w:val="40"/>
        </w:rPr>
        <w:t>ENROLLMENT CHECKLIST</w:t>
      </w:r>
    </w:p>
    <w:p w:rsidR="00AF76C1" w:rsidRDefault="00AF76C1">
      <w:pPr>
        <w:spacing w:line="240" w:lineRule="auto"/>
        <w:rPr>
          <w:rFonts w:ascii="Calibri" w:eastAsia="Calibri" w:hAnsi="Calibri" w:cs="Calibri"/>
          <w:sz w:val="18"/>
          <w:szCs w:val="18"/>
        </w:rPr>
      </w:pPr>
    </w:p>
    <w:p w:rsidR="00AF76C1" w:rsidRDefault="00AF76C1">
      <w:pPr>
        <w:spacing w:line="240" w:lineRule="auto"/>
        <w:rPr>
          <w:rFonts w:ascii="Calibri" w:eastAsia="Calibri" w:hAnsi="Calibri" w:cs="Calibri"/>
          <w:sz w:val="10"/>
          <w:szCs w:val="10"/>
        </w:rPr>
      </w:pPr>
    </w:p>
    <w:p w:rsidR="00AF76C1" w:rsidRDefault="00593562">
      <w:pPr>
        <w:spacing w:line="240" w:lineRule="auto"/>
        <w:rPr>
          <w:rFonts w:ascii="Calibri" w:eastAsia="Calibri" w:hAnsi="Calibri" w:cs="Calibri"/>
          <w:sz w:val="20"/>
          <w:szCs w:val="20"/>
        </w:rPr>
      </w:pPr>
      <w:bookmarkStart w:id="0" w:name="_heading=h.a5pu3rsfss2b" w:colFirst="0" w:colLast="0"/>
      <w:bookmarkEnd w:id="0"/>
      <w:r>
        <w:rPr>
          <w:rFonts w:ascii="Calibri" w:eastAsia="Calibri" w:hAnsi="Calibri" w:cs="Calibri"/>
          <w:sz w:val="20"/>
          <w:szCs w:val="20"/>
        </w:rPr>
        <w:t>The checklist below is provided as a guide for departmental Human Resources Associates to assure all necessary forms for participation in the Sick Leave Insurance Program (SLIP) are completed and submitted in a timely way. Please review completed forms carefully before submitting any required forms to HRE. If you have questions, please contact the appropriate person listed on page two of this form.</w:t>
      </w:r>
    </w:p>
    <w:p w:rsidR="00AF76C1" w:rsidRDefault="00AF76C1">
      <w:pPr>
        <w:spacing w:line="240" w:lineRule="auto"/>
        <w:rPr>
          <w:rFonts w:ascii="Calibri" w:eastAsia="Calibri" w:hAnsi="Calibri" w:cs="Calibri"/>
          <w:sz w:val="10"/>
          <w:szCs w:val="10"/>
        </w:rPr>
      </w:pPr>
    </w:p>
    <w:tbl>
      <w:tblPr>
        <w:tblStyle w:val="a2"/>
        <w:tblW w:w="1084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5"/>
        <w:gridCol w:w="7560"/>
      </w:tblGrid>
      <w:tr w:rsidR="00AF76C1">
        <w:trPr>
          <w:trHeight w:val="258"/>
        </w:trPr>
        <w:tc>
          <w:tcPr>
            <w:tcW w:w="10845" w:type="dxa"/>
            <w:gridSpan w:val="2"/>
            <w:tcBorders>
              <w:top w:val="single" w:sz="6" w:space="0" w:color="000000"/>
              <w:left w:val="single" w:sz="6" w:space="0" w:color="000000"/>
              <w:bottom w:val="single" w:sz="6" w:space="0" w:color="000000"/>
              <w:right w:val="single" w:sz="6" w:space="0" w:color="000000"/>
            </w:tcBorders>
            <w:shd w:val="clear" w:color="auto" w:fill="D9D9D9"/>
          </w:tcPr>
          <w:p w:rsidR="00AF76C1" w:rsidRDefault="00593562">
            <w:pPr>
              <w:spacing w:line="240" w:lineRule="auto"/>
              <w:ind w:left="-810" w:right="-705"/>
              <w:jc w:val="center"/>
              <w:rPr>
                <w:rFonts w:ascii="Calibri" w:eastAsia="Calibri" w:hAnsi="Calibri" w:cs="Calibri"/>
                <w:b/>
                <w:sz w:val="20"/>
                <w:szCs w:val="20"/>
              </w:rPr>
            </w:pPr>
            <w:r>
              <w:rPr>
                <w:rFonts w:ascii="Calibri" w:eastAsia="Calibri" w:hAnsi="Calibri" w:cs="Calibri"/>
                <w:b/>
                <w:sz w:val="20"/>
                <w:szCs w:val="20"/>
              </w:rPr>
              <w:t>FORMS REQUIRED TO PROCESS SICK LEAVE INSURANCE PROGRAM (SLIP) DOCUMENTS</w:t>
            </w:r>
          </w:p>
        </w:tc>
      </w:tr>
      <w:tr w:rsidR="00AF76C1">
        <w:trPr>
          <w:trHeight w:val="251"/>
        </w:trPr>
        <w:tc>
          <w:tcPr>
            <w:tcW w:w="10845" w:type="dxa"/>
            <w:gridSpan w:val="2"/>
            <w:tcBorders>
              <w:top w:val="single" w:sz="6" w:space="0" w:color="000000"/>
              <w:left w:val="single" w:sz="6" w:space="0" w:color="000000"/>
              <w:bottom w:val="single" w:sz="6" w:space="0" w:color="000000"/>
              <w:right w:val="single" w:sz="6" w:space="0" w:color="000000"/>
            </w:tcBorders>
            <w:shd w:val="clear" w:color="auto" w:fill="FFFFFF"/>
          </w:tcPr>
          <w:p w:rsidR="00AF76C1" w:rsidRDefault="00593562">
            <w:pPr>
              <w:spacing w:line="240" w:lineRule="auto"/>
              <w:rPr>
                <w:rFonts w:ascii="Calibri" w:eastAsia="Calibri" w:hAnsi="Calibri" w:cs="Calibri"/>
                <w:b/>
                <w:color w:val="FF0000"/>
                <w:sz w:val="16"/>
                <w:szCs w:val="16"/>
              </w:rPr>
            </w:pPr>
            <w:r>
              <w:rPr>
                <w:b/>
                <w:color w:val="CC0000"/>
                <w:sz w:val="18"/>
                <w:szCs w:val="18"/>
                <w:highlight w:val="white"/>
              </w:rPr>
              <w:t>Required for Executive, Judicial, and Legislative branches, including DOT, Fair Board, and CBC employees</w:t>
            </w:r>
          </w:p>
        </w:tc>
      </w:tr>
      <w:tr w:rsidR="00AF76C1" w:rsidTr="00863D5A">
        <w:trPr>
          <w:trHeight w:val="843"/>
        </w:trPr>
        <w:tc>
          <w:tcPr>
            <w:tcW w:w="3285" w:type="dxa"/>
            <w:tcBorders>
              <w:top w:val="single" w:sz="6" w:space="0" w:color="000000"/>
            </w:tcBorders>
            <w:shd w:val="clear" w:color="auto" w:fill="FFFFFF"/>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u w:val="single"/>
              </w:rPr>
            </w:pPr>
            <w:hyperlink r:id="rId8">
              <w:r w:rsidR="00593562">
                <w:rPr>
                  <w:rFonts w:ascii="Calibri" w:eastAsia="Calibri" w:hAnsi="Calibri" w:cs="Calibri"/>
                  <w:color w:val="1155CC"/>
                  <w:sz w:val="20"/>
                  <w:szCs w:val="20"/>
                  <w:u w:val="single"/>
                </w:rPr>
                <w:t>Sick Leave Insurance Program Enrollment Form</w:t>
              </w:r>
            </w:hyperlink>
          </w:p>
        </w:tc>
        <w:tc>
          <w:tcPr>
            <w:tcW w:w="7560" w:type="dxa"/>
            <w:tcBorders>
              <w:top w:val="single" w:sz="6" w:space="0" w:color="000000"/>
              <w:right w:val="single" w:sz="6" w:space="0" w:color="000000"/>
            </w:tcBorders>
            <w:shd w:val="clear" w:color="auto" w:fill="FFFFFF"/>
            <w:tcMar>
              <w:top w:w="100" w:type="dxa"/>
              <w:left w:w="100" w:type="dxa"/>
              <w:bottom w:w="100" w:type="dxa"/>
              <w:right w:w="100" w:type="dxa"/>
            </w:tcMar>
          </w:tcPr>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Employee completes and signs form; HRA completes HRA portion on last page.</w:t>
            </w:r>
          </w:p>
          <w:p w:rsidR="00AF76C1" w:rsidRDefault="00593562">
            <w:pPr>
              <w:spacing w:line="240" w:lineRule="auto"/>
              <w:rPr>
                <w:rFonts w:ascii="Calibri" w:eastAsia="Calibri" w:hAnsi="Calibri" w:cs="Calibri"/>
                <w:sz w:val="20"/>
                <w:szCs w:val="20"/>
              </w:rPr>
            </w:pPr>
            <w:r>
              <w:rPr>
                <w:rFonts w:ascii="Calibri" w:eastAsia="Calibri" w:hAnsi="Calibri" w:cs="Calibri"/>
                <w:color w:val="222222"/>
                <w:sz w:val="20"/>
                <w:szCs w:val="20"/>
                <w:highlight w:val="white"/>
              </w:rPr>
              <w:t>The form is required and must be uploaded/attached to the Termination business process in Workday, along with the other applicable retirement documentation.</w:t>
            </w:r>
          </w:p>
        </w:tc>
      </w:tr>
      <w:tr w:rsidR="00AF76C1">
        <w:trPr>
          <w:trHeight w:val="1640"/>
        </w:trPr>
        <w:tc>
          <w:tcPr>
            <w:tcW w:w="3285" w:type="dxa"/>
            <w:shd w:val="clear" w:color="auto" w:fill="FFFFFF"/>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u w:val="single"/>
              </w:rPr>
            </w:pPr>
            <w:hyperlink r:id="rId9">
              <w:r w:rsidR="00593562">
                <w:rPr>
                  <w:rFonts w:ascii="Calibri" w:eastAsia="Calibri" w:hAnsi="Calibri" w:cs="Calibri"/>
                  <w:color w:val="1155CC"/>
                  <w:sz w:val="20"/>
                  <w:szCs w:val="20"/>
                  <w:u w:val="single"/>
                </w:rPr>
                <w:t>Applicatio</w:t>
              </w:r>
              <w:r w:rsidR="00593562">
                <w:rPr>
                  <w:rFonts w:ascii="Calibri" w:eastAsia="Calibri" w:hAnsi="Calibri" w:cs="Calibri"/>
                  <w:color w:val="1155CC"/>
                  <w:sz w:val="20"/>
                  <w:szCs w:val="20"/>
                  <w:u w:val="single"/>
                </w:rPr>
                <w:t>n</w:t>
              </w:r>
              <w:r w:rsidR="00593562">
                <w:rPr>
                  <w:rFonts w:ascii="Calibri" w:eastAsia="Calibri" w:hAnsi="Calibri" w:cs="Calibri"/>
                  <w:color w:val="1155CC"/>
                  <w:sz w:val="20"/>
                  <w:szCs w:val="20"/>
                  <w:u w:val="single"/>
                </w:rPr>
                <w:t xml:space="preserve"> for the Retired/Disabled Health and Dental Insurance Group</w:t>
              </w:r>
            </w:hyperlink>
          </w:p>
        </w:tc>
        <w:tc>
          <w:tcPr>
            <w:tcW w:w="7560" w:type="dxa"/>
            <w:tcBorders>
              <w:right w:val="single" w:sz="6" w:space="0" w:color="000000"/>
            </w:tcBorders>
            <w:shd w:val="clear" w:color="auto" w:fill="FFFFFF"/>
            <w:tcMar>
              <w:top w:w="100" w:type="dxa"/>
              <w:left w:w="100" w:type="dxa"/>
              <w:bottom w:w="100" w:type="dxa"/>
              <w:right w:w="100" w:type="dxa"/>
            </w:tcMar>
          </w:tcPr>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This is the cover sheet for the employee’s health/dental applications.</w:t>
            </w:r>
          </w:p>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Employee fills out and signs. HRA name and phone number must be included on the form.</w:t>
            </w:r>
          </w:p>
          <w:p w:rsidR="00AF76C1" w:rsidRDefault="00593562">
            <w:pPr>
              <w:spacing w:after="120" w:line="240" w:lineRule="auto"/>
              <w:rPr>
                <w:rFonts w:ascii="Calibri" w:eastAsia="Calibri" w:hAnsi="Calibri" w:cs="Calibri"/>
                <w:color w:val="222222"/>
                <w:sz w:val="20"/>
                <w:szCs w:val="20"/>
                <w:highlight w:val="white"/>
              </w:rPr>
            </w:pPr>
            <w:r>
              <w:rPr>
                <w:rFonts w:ascii="Calibri" w:eastAsia="Calibri" w:hAnsi="Calibri" w:cs="Calibri"/>
                <w:sz w:val="20"/>
                <w:szCs w:val="20"/>
              </w:rPr>
              <w:t xml:space="preserve">Keep a copy, and send, with the health and dental applications, to the DAS-HRE Retiree Benefits Specialist at </w:t>
            </w:r>
            <w:hyperlink r:id="rId10">
              <w:r>
                <w:rPr>
                  <w:rFonts w:ascii="Calibri" w:eastAsia="Calibri" w:hAnsi="Calibri" w:cs="Calibri"/>
                  <w:color w:val="1155CC"/>
                  <w:sz w:val="20"/>
                  <w:szCs w:val="20"/>
                  <w:u w:val="single"/>
                </w:rPr>
                <w:t>stateretirees@iowa.gov</w:t>
              </w:r>
            </w:hyperlink>
            <w:r>
              <w:rPr>
                <w:rFonts w:ascii="Calibri" w:eastAsia="Calibri" w:hAnsi="Calibri" w:cs="Calibri"/>
                <w:color w:val="222222"/>
                <w:sz w:val="20"/>
                <w:szCs w:val="20"/>
                <w:highlight w:val="white"/>
              </w:rPr>
              <w:t>.</w:t>
            </w:r>
          </w:p>
          <w:p w:rsidR="00AF76C1" w:rsidRDefault="00593562">
            <w:pPr>
              <w:spacing w:after="120" w:line="240" w:lineRule="auto"/>
              <w:rPr>
                <w:rFonts w:ascii="Calibri" w:eastAsia="Calibri" w:hAnsi="Calibri" w:cs="Calibri"/>
                <w:sz w:val="20"/>
                <w:szCs w:val="20"/>
              </w:rPr>
            </w:pPr>
            <w:r>
              <w:rPr>
                <w:rFonts w:ascii="Calibri" w:eastAsia="Calibri" w:hAnsi="Calibri" w:cs="Calibri"/>
                <w:color w:val="222222"/>
                <w:sz w:val="20"/>
                <w:szCs w:val="20"/>
                <w:highlight w:val="white"/>
              </w:rPr>
              <w:t>It may also be attached to the employee profile&gt;personal&gt;documents.</w:t>
            </w:r>
          </w:p>
          <w:p w:rsidR="00AF76C1" w:rsidRDefault="00593562">
            <w:pPr>
              <w:spacing w:line="240" w:lineRule="auto"/>
              <w:rPr>
                <w:rFonts w:ascii="Calibri" w:eastAsia="Calibri" w:hAnsi="Calibri" w:cs="Calibri"/>
                <w:sz w:val="20"/>
                <w:szCs w:val="20"/>
              </w:rPr>
            </w:pPr>
            <w:r>
              <w:rPr>
                <w:rFonts w:ascii="Calibri" w:eastAsia="Calibri" w:hAnsi="Calibri" w:cs="Calibri"/>
                <w:b/>
                <w:sz w:val="20"/>
                <w:szCs w:val="20"/>
              </w:rPr>
              <w:t>If the retiree declines all coverage, this is the only form that needs to be filled out and forwarded.</w:t>
            </w:r>
            <w:r>
              <w:rPr>
                <w:rFonts w:ascii="Calibri" w:eastAsia="Calibri" w:hAnsi="Calibri" w:cs="Calibri"/>
                <w:sz w:val="20"/>
                <w:szCs w:val="20"/>
              </w:rPr>
              <w:t xml:space="preserve"> </w:t>
            </w:r>
          </w:p>
        </w:tc>
      </w:tr>
      <w:tr w:rsidR="00AF76C1" w:rsidTr="00863D5A">
        <w:trPr>
          <w:trHeight w:val="1518"/>
        </w:trPr>
        <w:tc>
          <w:tcPr>
            <w:tcW w:w="3285" w:type="dxa"/>
            <w:shd w:val="clear" w:color="auto" w:fill="FFFFFF"/>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u w:val="single"/>
              </w:rPr>
            </w:pPr>
            <w:hyperlink r:id="rId11">
              <w:r w:rsidR="00593562">
                <w:rPr>
                  <w:rFonts w:ascii="Calibri" w:eastAsia="Calibri" w:hAnsi="Calibri" w:cs="Calibri"/>
                  <w:color w:val="1155CC"/>
                  <w:sz w:val="20"/>
                  <w:szCs w:val="20"/>
                  <w:u w:val="single"/>
                </w:rPr>
                <w:t xml:space="preserve">Wellmark State of Iowa Group Retiree </w:t>
              </w:r>
              <w:r w:rsidR="00593562">
                <w:rPr>
                  <w:rFonts w:ascii="Calibri" w:eastAsia="Calibri" w:hAnsi="Calibri" w:cs="Calibri"/>
                  <w:color w:val="1155CC"/>
                  <w:sz w:val="20"/>
                  <w:szCs w:val="20"/>
                  <w:u w:val="single"/>
                </w:rPr>
                <w:t>A</w:t>
              </w:r>
              <w:r w:rsidR="00593562">
                <w:rPr>
                  <w:rFonts w:ascii="Calibri" w:eastAsia="Calibri" w:hAnsi="Calibri" w:cs="Calibri"/>
                  <w:color w:val="1155CC"/>
                  <w:sz w:val="20"/>
                  <w:szCs w:val="20"/>
                  <w:u w:val="single"/>
                </w:rPr>
                <w:t>pplication</w:t>
              </w:r>
            </w:hyperlink>
          </w:p>
        </w:tc>
        <w:tc>
          <w:tcPr>
            <w:tcW w:w="7560" w:type="dxa"/>
            <w:tcBorders>
              <w:right w:val="single" w:sz="6" w:space="0" w:color="000000"/>
            </w:tcBorders>
            <w:shd w:val="clear" w:color="auto" w:fill="FFFFFF"/>
            <w:tcMar>
              <w:top w:w="100" w:type="dxa"/>
              <w:left w:w="100" w:type="dxa"/>
              <w:bottom w:w="100" w:type="dxa"/>
              <w:right w:w="100" w:type="dxa"/>
            </w:tcMar>
          </w:tcPr>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This is the application form for the continuation of health insurance coverage. This is required even if the retiree is staying with the same health plan.</w:t>
            </w:r>
          </w:p>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 xml:space="preserve">Paperwork is sent, along with the continuation form and dental application if applicable, to the DAS-HRE Retiree Benefits Specialist at </w:t>
            </w:r>
            <w:hyperlink r:id="rId12">
              <w:r>
                <w:rPr>
                  <w:rFonts w:ascii="Calibri" w:eastAsia="Calibri" w:hAnsi="Calibri" w:cs="Calibri"/>
                  <w:color w:val="1155CC"/>
                  <w:sz w:val="20"/>
                  <w:szCs w:val="20"/>
                  <w:u w:val="single"/>
                </w:rPr>
                <w:t>stateretirees@iowa.gov</w:t>
              </w:r>
            </w:hyperlink>
            <w:r>
              <w:rPr>
                <w:rFonts w:ascii="Calibri" w:eastAsia="Calibri" w:hAnsi="Calibri" w:cs="Calibri"/>
                <w:sz w:val="20"/>
                <w:szCs w:val="20"/>
              </w:rPr>
              <w:t>.</w:t>
            </w:r>
          </w:p>
          <w:p w:rsidR="00AF76C1" w:rsidRDefault="00593562">
            <w:pPr>
              <w:spacing w:line="240" w:lineRule="auto"/>
              <w:rPr>
                <w:rFonts w:ascii="Calibri" w:eastAsia="Calibri" w:hAnsi="Calibri" w:cs="Calibri"/>
                <w:b/>
                <w:sz w:val="20"/>
                <w:szCs w:val="20"/>
              </w:rPr>
            </w:pPr>
            <w:r>
              <w:rPr>
                <w:rFonts w:ascii="Calibri" w:eastAsia="Calibri" w:hAnsi="Calibri" w:cs="Calibri"/>
                <w:b/>
                <w:color w:val="222222"/>
                <w:sz w:val="20"/>
                <w:szCs w:val="20"/>
                <w:highlight w:val="white"/>
              </w:rPr>
              <w:t>It may also be attached to the employee profile&gt;personal&gt;documents in Workday.</w:t>
            </w:r>
          </w:p>
        </w:tc>
      </w:tr>
      <w:tr w:rsidR="00AF76C1" w:rsidTr="00863D5A">
        <w:trPr>
          <w:trHeight w:val="1761"/>
        </w:trPr>
        <w:tc>
          <w:tcPr>
            <w:tcW w:w="3285" w:type="dxa"/>
            <w:tcBorders>
              <w:bottom w:val="single" w:sz="6" w:space="0" w:color="000000"/>
            </w:tcBorders>
            <w:shd w:val="clear" w:color="auto" w:fill="auto"/>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highlight w:val="white"/>
                <w:u w:val="single"/>
              </w:rPr>
            </w:pPr>
            <w:hyperlink r:id="rId13">
              <w:r w:rsidR="00593562">
                <w:rPr>
                  <w:rFonts w:ascii="Calibri" w:eastAsia="Calibri" w:hAnsi="Calibri" w:cs="Calibri"/>
                  <w:color w:val="1155CC"/>
                  <w:sz w:val="20"/>
                  <w:szCs w:val="20"/>
                  <w:highlight w:val="white"/>
                  <w:u w:val="single"/>
                </w:rPr>
                <w:t>Delta Dental Insurance Application</w:t>
              </w:r>
            </w:hyperlink>
          </w:p>
          <w:p w:rsidR="00AF76C1" w:rsidRDefault="00CD51E6">
            <w:pPr>
              <w:spacing w:line="240" w:lineRule="auto"/>
              <w:rPr>
                <w:rFonts w:ascii="Calibri" w:eastAsia="Calibri" w:hAnsi="Calibri" w:cs="Calibri"/>
                <w:color w:val="1155CC"/>
                <w:sz w:val="20"/>
                <w:szCs w:val="20"/>
                <w:highlight w:val="white"/>
                <w:u w:val="single"/>
              </w:rPr>
            </w:pPr>
            <w:hyperlink r:id="rId14">
              <w:r w:rsidR="00593562">
                <w:rPr>
                  <w:rFonts w:ascii="Calibri" w:eastAsia="Calibri" w:hAnsi="Calibri" w:cs="Calibri"/>
                  <w:color w:val="1155CC"/>
                  <w:sz w:val="20"/>
                  <w:szCs w:val="20"/>
                  <w:highlight w:val="white"/>
                  <w:u w:val="single"/>
                </w:rPr>
                <w:t>Delta Dental's Authorization for Automatic Bank Account Withdrawal</w:t>
              </w:r>
            </w:hyperlink>
          </w:p>
        </w:tc>
        <w:tc>
          <w:tcPr>
            <w:tcW w:w="7560" w:type="dxa"/>
            <w:tcBorders>
              <w:bottom w:val="single" w:sz="6" w:space="0" w:color="000000"/>
              <w:right w:val="single" w:sz="6" w:space="0" w:color="000000"/>
            </w:tcBorders>
            <w:shd w:val="clear" w:color="auto" w:fill="FFFFFF"/>
            <w:tcMar>
              <w:top w:w="100" w:type="dxa"/>
              <w:left w:w="100" w:type="dxa"/>
              <w:bottom w:w="100" w:type="dxa"/>
              <w:right w:w="100" w:type="dxa"/>
            </w:tcMar>
          </w:tcPr>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This is the application for the continuation of dental insurance coverage, and is required if continuing dental insurance.</w:t>
            </w:r>
          </w:p>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 xml:space="preserve">It is sent, along with the continuation form and health application if applicable, to the DAS-HRE Retiree Benefits Specialist at </w:t>
            </w:r>
            <w:hyperlink r:id="rId15">
              <w:r>
                <w:rPr>
                  <w:rFonts w:ascii="Calibri" w:eastAsia="Calibri" w:hAnsi="Calibri" w:cs="Calibri"/>
                  <w:color w:val="1155CC"/>
                  <w:sz w:val="20"/>
                  <w:szCs w:val="20"/>
                  <w:u w:val="single"/>
                </w:rPr>
                <w:t>stateretirees@iowa.gov</w:t>
              </w:r>
            </w:hyperlink>
            <w:r>
              <w:rPr>
                <w:rFonts w:ascii="Calibri" w:eastAsia="Calibri" w:hAnsi="Calibri" w:cs="Calibri"/>
                <w:sz w:val="20"/>
                <w:szCs w:val="20"/>
              </w:rPr>
              <w:t>. Automatic payments are not required.</w:t>
            </w:r>
          </w:p>
          <w:p w:rsidR="00AF76C1" w:rsidRDefault="00593562">
            <w:pPr>
              <w:spacing w:line="240" w:lineRule="auto"/>
              <w:rPr>
                <w:rFonts w:ascii="Calibri" w:eastAsia="Calibri" w:hAnsi="Calibri" w:cs="Calibri"/>
                <w:b/>
                <w:sz w:val="20"/>
                <w:szCs w:val="20"/>
              </w:rPr>
            </w:pPr>
            <w:r>
              <w:rPr>
                <w:rFonts w:ascii="Calibri" w:eastAsia="Calibri" w:hAnsi="Calibri" w:cs="Calibri"/>
                <w:b/>
                <w:color w:val="222222"/>
                <w:sz w:val="20"/>
                <w:szCs w:val="20"/>
                <w:highlight w:val="white"/>
              </w:rPr>
              <w:t>It may also be attached to the employee profile&gt;personal&gt;documents in Workday.</w:t>
            </w:r>
          </w:p>
        </w:tc>
      </w:tr>
      <w:tr w:rsidR="00AF76C1" w:rsidTr="00863D5A">
        <w:trPr>
          <w:trHeight w:val="304"/>
        </w:trPr>
        <w:tc>
          <w:tcPr>
            <w:tcW w:w="3285" w:type="dxa"/>
            <w:tcBorders>
              <w:bottom w:val="single" w:sz="6" w:space="0" w:color="000000"/>
            </w:tcBorders>
            <w:shd w:val="clear" w:color="auto" w:fill="FFFFFF"/>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Add Retiree Status </w:t>
            </w:r>
          </w:p>
        </w:tc>
        <w:tc>
          <w:tcPr>
            <w:tcW w:w="7560" w:type="dxa"/>
            <w:tcBorders>
              <w:bottom w:val="single" w:sz="6" w:space="0" w:color="000000"/>
              <w:right w:val="single" w:sz="6" w:space="0" w:color="000000"/>
            </w:tcBorders>
            <w:shd w:val="clear" w:color="auto" w:fill="FFFFFF"/>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 See the </w:t>
            </w:r>
            <w:hyperlink r:id="rId16">
              <w:r>
                <w:rPr>
                  <w:rFonts w:ascii="Calibri" w:eastAsia="Calibri" w:hAnsi="Calibri" w:cs="Calibri"/>
                  <w:color w:val="1155CC"/>
                  <w:sz w:val="20"/>
                  <w:szCs w:val="20"/>
                  <w:u w:val="single"/>
                </w:rPr>
                <w:t>Termination Job Aid</w:t>
              </w:r>
            </w:hyperlink>
            <w:r>
              <w:rPr>
                <w:rFonts w:ascii="Calibri" w:eastAsia="Calibri" w:hAnsi="Calibri" w:cs="Calibri"/>
                <w:sz w:val="20"/>
                <w:szCs w:val="20"/>
              </w:rPr>
              <w:t xml:space="preserve">. </w:t>
            </w:r>
          </w:p>
        </w:tc>
      </w:tr>
      <w:tr w:rsidR="00AF76C1" w:rsidTr="00863D5A">
        <w:trPr>
          <w:trHeight w:val="1788"/>
        </w:trPr>
        <w:tc>
          <w:tcPr>
            <w:tcW w:w="3285" w:type="dxa"/>
            <w:tcBorders>
              <w:top w:val="single" w:sz="6" w:space="0" w:color="000000"/>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SLIP Calculation </w:t>
            </w:r>
          </w:p>
        </w:tc>
        <w:tc>
          <w:tcPr>
            <w:tcW w:w="7560" w:type="dxa"/>
            <w:tcBorders>
              <w:top w:val="single" w:sz="6" w:space="0" w:color="000000"/>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rsidR="00AF76C1" w:rsidRDefault="00593562">
            <w:pPr>
              <w:shd w:val="clear" w:color="auto" w:fill="FFFFFF"/>
              <w:spacing w:after="120" w:line="240" w:lineRule="auto"/>
              <w:rPr>
                <w:rFonts w:ascii="Calibri" w:eastAsia="Calibri" w:hAnsi="Calibri" w:cs="Calibri"/>
                <w:sz w:val="20"/>
                <w:szCs w:val="20"/>
              </w:rPr>
            </w:pPr>
            <w:r>
              <w:rPr>
                <w:rFonts w:ascii="Calibri" w:eastAsia="Calibri" w:hAnsi="Calibri" w:cs="Calibri"/>
                <w:sz w:val="20"/>
                <w:szCs w:val="20"/>
              </w:rPr>
              <w:t xml:space="preserve">Per the Termination Job Aid: </w:t>
            </w:r>
          </w:p>
          <w:p w:rsidR="00AF76C1" w:rsidRDefault="00593562">
            <w:pPr>
              <w:shd w:val="clear" w:color="auto" w:fill="FFFFFF"/>
              <w:spacing w:after="120" w:line="240" w:lineRule="auto"/>
              <w:rPr>
                <w:rFonts w:ascii="Calibri" w:eastAsia="Calibri" w:hAnsi="Calibri" w:cs="Calibri"/>
                <w:sz w:val="20"/>
                <w:szCs w:val="20"/>
                <w:highlight w:val="white"/>
              </w:rPr>
            </w:pPr>
            <w:r>
              <w:rPr>
                <w:rFonts w:ascii="Calibri" w:eastAsia="Calibri" w:hAnsi="Calibri" w:cs="Calibri"/>
                <w:sz w:val="20"/>
                <w:szCs w:val="20"/>
                <w:highlight w:val="white"/>
              </w:rPr>
              <w:t>All banked leave hours (existing balances and accruals) in the final pay period will be automatically calculated in Pay results, assuming the Termination Business Processes have been successfully completed.</w:t>
            </w:r>
          </w:p>
          <w:p w:rsidR="00AF76C1" w:rsidRDefault="00593562">
            <w:pPr>
              <w:shd w:val="clear" w:color="auto" w:fill="FFFFFF"/>
              <w:spacing w:line="240" w:lineRule="auto"/>
              <w:rPr>
                <w:rFonts w:ascii="Calibri" w:eastAsia="Calibri" w:hAnsi="Calibri" w:cs="Calibri"/>
                <w:sz w:val="20"/>
                <w:szCs w:val="20"/>
              </w:rPr>
            </w:pPr>
            <w:r>
              <w:rPr>
                <w:rFonts w:ascii="Calibri" w:eastAsia="Calibri" w:hAnsi="Calibri" w:cs="Calibri"/>
                <w:sz w:val="20"/>
                <w:szCs w:val="20"/>
                <w:highlight w:val="white"/>
              </w:rPr>
              <w:t>In most cases, HR staff will not need to manually calculate and record the pay, but HRAs will want to review preliminary payroll results to confirm the calculations are correct.</w:t>
            </w:r>
          </w:p>
        </w:tc>
      </w:tr>
      <w:tr w:rsidR="00AF76C1" w:rsidTr="00863D5A">
        <w:trPr>
          <w:trHeight w:val="930"/>
        </w:trPr>
        <w:tc>
          <w:tcPr>
            <w:tcW w:w="3285" w:type="dxa"/>
            <w:tcBorders>
              <w:top w:val="single" w:sz="4" w:space="0" w:color="auto"/>
              <w:bottom w:val="single" w:sz="6" w:space="0" w:color="auto"/>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Life Insurance </w:t>
            </w:r>
          </w:p>
        </w:tc>
        <w:tc>
          <w:tcPr>
            <w:tcW w:w="7560" w:type="dxa"/>
            <w:tcBorders>
              <w:top w:val="single" w:sz="4" w:space="0" w:color="auto"/>
              <w:bottom w:val="single" w:sz="6" w:space="0" w:color="auto"/>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Once an HRA enters the termination of employment into Workday, life insurance benefits will be stopped as part of that business process. The Standard will be notified of the termination from a file generated in Workday. </w:t>
            </w:r>
          </w:p>
        </w:tc>
      </w:tr>
    </w:tbl>
    <w:p w:rsidR="00AF76C1" w:rsidRDefault="00AF76C1">
      <w:pPr>
        <w:rPr>
          <w:sz w:val="8"/>
          <w:szCs w:val="8"/>
        </w:rPr>
      </w:pPr>
    </w:p>
    <w:p w:rsidR="00AF76C1" w:rsidRDefault="00AF76C1">
      <w:pPr>
        <w:spacing w:line="240" w:lineRule="auto"/>
        <w:rPr>
          <w:rFonts w:ascii="Calibri" w:eastAsia="Calibri" w:hAnsi="Calibri" w:cs="Calibri"/>
        </w:rPr>
      </w:pPr>
    </w:p>
    <w:tbl>
      <w:tblPr>
        <w:tblStyle w:val="a3"/>
        <w:tblW w:w="10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0"/>
        <w:gridCol w:w="7290"/>
      </w:tblGrid>
      <w:tr w:rsidR="00AF76C1">
        <w:trPr>
          <w:trHeight w:val="474"/>
        </w:trPr>
        <w:tc>
          <w:tcPr>
            <w:tcW w:w="10680" w:type="dxa"/>
            <w:gridSpan w:val="2"/>
            <w:shd w:val="clear" w:color="auto" w:fill="D9D9D9"/>
          </w:tcPr>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OPTIONAL FORMS RELATED TO ALL RETIREMENTS</w:t>
            </w:r>
          </w:p>
          <w:p w:rsidR="00AF76C1" w:rsidRDefault="00593562">
            <w:pPr>
              <w:spacing w:line="240" w:lineRule="auto"/>
              <w:jc w:val="center"/>
              <w:rPr>
                <w:rFonts w:ascii="Calibri" w:eastAsia="Calibri" w:hAnsi="Calibri" w:cs="Calibri"/>
                <w:sz w:val="20"/>
                <w:szCs w:val="20"/>
              </w:rPr>
            </w:pPr>
            <w:r>
              <w:rPr>
                <w:rFonts w:ascii="Calibri" w:eastAsia="Calibri" w:hAnsi="Calibri" w:cs="Calibri"/>
                <w:sz w:val="20"/>
                <w:szCs w:val="20"/>
              </w:rPr>
              <w:t>It may be necessary to complete one or more of these documents depending upon the employee’s circumstances.</w:t>
            </w:r>
          </w:p>
        </w:tc>
      </w:tr>
      <w:tr w:rsidR="00AF76C1">
        <w:trPr>
          <w:trHeight w:val="413"/>
        </w:trPr>
        <w:tc>
          <w:tcPr>
            <w:tcW w:w="3390" w:type="dxa"/>
            <w:tcBorders>
              <w:top w:val="single" w:sz="6" w:space="0" w:color="000000"/>
            </w:tcBorders>
            <w:shd w:val="clear" w:color="auto" w:fill="auto"/>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u w:val="single"/>
              </w:rPr>
            </w:pPr>
            <w:hyperlink r:id="rId17">
              <w:r w:rsidR="00593562">
                <w:rPr>
                  <w:rFonts w:ascii="Calibri" w:eastAsia="Calibri" w:hAnsi="Calibri" w:cs="Calibri"/>
                  <w:color w:val="1155CC"/>
                  <w:sz w:val="20"/>
                  <w:szCs w:val="20"/>
                  <w:u w:val="single"/>
                </w:rPr>
                <w:t>SLIP Calculati</w:t>
              </w:r>
              <w:r w:rsidR="00593562">
                <w:rPr>
                  <w:rFonts w:ascii="Calibri" w:eastAsia="Calibri" w:hAnsi="Calibri" w:cs="Calibri"/>
                  <w:color w:val="1155CC"/>
                  <w:sz w:val="20"/>
                  <w:szCs w:val="20"/>
                  <w:u w:val="single"/>
                </w:rPr>
                <w:t>o</w:t>
              </w:r>
              <w:r w:rsidR="00593562">
                <w:rPr>
                  <w:rFonts w:ascii="Calibri" w:eastAsia="Calibri" w:hAnsi="Calibri" w:cs="Calibri"/>
                  <w:color w:val="1155CC"/>
                  <w:sz w:val="20"/>
                  <w:szCs w:val="20"/>
                  <w:u w:val="single"/>
                </w:rPr>
                <w:t>n Worksheet</w:t>
              </w:r>
            </w:hyperlink>
          </w:p>
        </w:tc>
        <w:tc>
          <w:tcPr>
            <w:tcW w:w="7290" w:type="dxa"/>
            <w:tcBorders>
              <w:top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Provide to the employee prior to retirement if requested to show an </w:t>
            </w:r>
            <w:r>
              <w:rPr>
                <w:rFonts w:ascii="Calibri" w:eastAsia="Calibri" w:hAnsi="Calibri" w:cs="Calibri"/>
                <w:b/>
                <w:sz w:val="20"/>
                <w:szCs w:val="20"/>
              </w:rPr>
              <w:t>estimate</w:t>
            </w:r>
            <w:r>
              <w:rPr>
                <w:rFonts w:ascii="Calibri" w:eastAsia="Calibri" w:hAnsi="Calibri" w:cs="Calibri"/>
                <w:sz w:val="20"/>
                <w:szCs w:val="20"/>
              </w:rPr>
              <w:t xml:space="preserve"> of the SLIP account beginning balance.</w:t>
            </w:r>
          </w:p>
        </w:tc>
      </w:tr>
      <w:tr w:rsidR="00AF76C1">
        <w:trPr>
          <w:trHeight w:val="980"/>
        </w:trPr>
        <w:tc>
          <w:tcPr>
            <w:tcW w:w="3390" w:type="dxa"/>
            <w:shd w:val="clear" w:color="auto" w:fill="auto"/>
            <w:tcMar>
              <w:top w:w="100" w:type="dxa"/>
              <w:left w:w="100" w:type="dxa"/>
              <w:bottom w:w="100" w:type="dxa"/>
              <w:right w:w="100" w:type="dxa"/>
            </w:tcMar>
          </w:tcPr>
          <w:p w:rsidR="00AF76C1" w:rsidRDefault="00CD51E6">
            <w:pPr>
              <w:spacing w:line="240" w:lineRule="auto"/>
              <w:rPr>
                <w:rFonts w:ascii="Calibri" w:eastAsia="Calibri" w:hAnsi="Calibri" w:cs="Calibri"/>
                <w:color w:val="333333"/>
                <w:sz w:val="20"/>
                <w:szCs w:val="20"/>
                <w:highlight w:val="white"/>
              </w:rPr>
            </w:pPr>
            <w:hyperlink r:id="rId18">
              <w:r w:rsidR="00593562">
                <w:rPr>
                  <w:rFonts w:ascii="Calibri" w:eastAsia="Calibri" w:hAnsi="Calibri" w:cs="Calibri"/>
                  <w:color w:val="1155CC"/>
                  <w:sz w:val="20"/>
                  <w:szCs w:val="20"/>
                  <w:highlight w:val="white"/>
                  <w:u w:val="single"/>
                </w:rPr>
                <w:t>The Standard's Portability and Conversion Frequently Asked Questions a</w:t>
              </w:r>
              <w:r w:rsidR="00593562">
                <w:rPr>
                  <w:rFonts w:ascii="Calibri" w:eastAsia="Calibri" w:hAnsi="Calibri" w:cs="Calibri"/>
                  <w:color w:val="1155CC"/>
                  <w:sz w:val="20"/>
                  <w:szCs w:val="20"/>
                  <w:highlight w:val="white"/>
                  <w:u w:val="single"/>
                </w:rPr>
                <w:t>n</w:t>
              </w:r>
              <w:r w:rsidR="00593562">
                <w:rPr>
                  <w:rFonts w:ascii="Calibri" w:eastAsia="Calibri" w:hAnsi="Calibri" w:cs="Calibri"/>
                  <w:color w:val="1155CC"/>
                  <w:sz w:val="20"/>
                  <w:szCs w:val="20"/>
                  <w:highlight w:val="white"/>
                  <w:u w:val="single"/>
                </w:rPr>
                <w:t>d Guidelines for the State of Iowa</w:t>
              </w:r>
            </w:hyperlink>
            <w:r w:rsidR="00593562">
              <w:rPr>
                <w:rFonts w:ascii="Calibri" w:eastAsia="Calibri" w:hAnsi="Calibri" w:cs="Calibri"/>
                <w:color w:val="333333"/>
                <w:sz w:val="20"/>
                <w:szCs w:val="20"/>
                <w:highlight w:val="white"/>
              </w:rPr>
              <w:t xml:space="preserve"> </w:t>
            </w:r>
          </w:p>
        </w:tc>
        <w:tc>
          <w:tcPr>
            <w:tcW w:w="7290" w:type="dxa"/>
            <w:tcBorders>
              <w:right w:val="single" w:sz="6" w:space="0" w:color="000000"/>
            </w:tcBorders>
            <w:shd w:val="clear" w:color="auto" w:fill="auto"/>
            <w:tcMar>
              <w:top w:w="100" w:type="dxa"/>
              <w:left w:w="100" w:type="dxa"/>
              <w:bottom w:w="100" w:type="dxa"/>
              <w:right w:w="100" w:type="dxa"/>
            </w:tcMar>
          </w:tcPr>
          <w:p w:rsidR="00AF76C1" w:rsidRDefault="00593562">
            <w:pPr>
              <w:spacing w:after="120" w:line="240" w:lineRule="auto"/>
              <w:rPr>
                <w:rFonts w:ascii="Calibri" w:eastAsia="Calibri" w:hAnsi="Calibri" w:cs="Calibri"/>
                <w:sz w:val="20"/>
                <w:szCs w:val="20"/>
              </w:rPr>
            </w:pPr>
            <w:r>
              <w:rPr>
                <w:rFonts w:ascii="Calibri" w:eastAsia="Calibri" w:hAnsi="Calibri" w:cs="Calibri"/>
                <w:sz w:val="20"/>
                <w:szCs w:val="20"/>
              </w:rPr>
              <w:t>Although not covered by the SLIP program for payment of premiums, retirees may elect to port or convert their group life insurance coverage.</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The Standard will mail a postcard with continuation information directly to the employee, but you are welcome to provide the FAQ if requested. </w:t>
            </w:r>
          </w:p>
        </w:tc>
      </w:tr>
      <w:tr w:rsidR="00AF76C1">
        <w:trPr>
          <w:trHeight w:val="503"/>
        </w:trPr>
        <w:tc>
          <w:tcPr>
            <w:tcW w:w="3390" w:type="dxa"/>
            <w:tcBorders>
              <w:bottom w:val="single" w:sz="6" w:space="0" w:color="000000"/>
            </w:tcBorders>
            <w:shd w:val="clear" w:color="auto" w:fill="auto"/>
            <w:tcMar>
              <w:top w:w="100" w:type="dxa"/>
              <w:left w:w="100" w:type="dxa"/>
              <w:bottom w:w="100" w:type="dxa"/>
              <w:right w:w="100" w:type="dxa"/>
            </w:tcMar>
          </w:tcPr>
          <w:p w:rsidR="00AF76C1" w:rsidRDefault="00CD51E6">
            <w:pPr>
              <w:spacing w:line="240" w:lineRule="auto"/>
              <w:rPr>
                <w:rFonts w:ascii="Calibri" w:eastAsia="Calibri" w:hAnsi="Calibri" w:cs="Calibri"/>
                <w:color w:val="1155CC"/>
                <w:sz w:val="20"/>
                <w:szCs w:val="20"/>
                <w:highlight w:val="white"/>
                <w:u w:val="single"/>
              </w:rPr>
            </w:pPr>
            <w:hyperlink r:id="rId19">
              <w:r w:rsidR="00593562">
                <w:rPr>
                  <w:rFonts w:ascii="Calibri" w:eastAsia="Calibri" w:hAnsi="Calibri" w:cs="Calibri"/>
                  <w:color w:val="1155CC"/>
                  <w:sz w:val="20"/>
                  <w:szCs w:val="20"/>
                  <w:highlight w:val="white"/>
                  <w:u w:val="single"/>
                </w:rPr>
                <w:t>Special Deduction Request</w:t>
              </w:r>
            </w:hyperlink>
          </w:p>
        </w:tc>
        <w:tc>
          <w:tcPr>
            <w:tcW w:w="729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Pr="00924FEC" w:rsidRDefault="00593562">
            <w:pPr>
              <w:spacing w:line="240" w:lineRule="auto"/>
              <w:rPr>
                <w:rFonts w:ascii="Calibri" w:eastAsia="Calibri" w:hAnsi="Calibri" w:cs="Calibri"/>
                <w:sz w:val="20"/>
                <w:szCs w:val="20"/>
              </w:rPr>
            </w:pPr>
            <w:r w:rsidRPr="00924FEC">
              <w:rPr>
                <w:rFonts w:ascii="Calibri" w:eastAsia="Calibri" w:hAnsi="Calibri" w:cs="Calibri"/>
                <w:sz w:val="20"/>
                <w:szCs w:val="20"/>
              </w:rPr>
              <w:t xml:space="preserve">Used to increase deductions for the final pay warrant if desired by the retiree. Send </w:t>
            </w:r>
            <w:r w:rsidR="00924FEC" w:rsidRPr="00CD51E6">
              <w:rPr>
                <w:rFonts w:ascii="Calibri" w:eastAsia="Calibri" w:hAnsi="Calibri" w:cs="Calibri"/>
                <w:bCs/>
                <w:sz w:val="20"/>
                <w:szCs w:val="20"/>
              </w:rPr>
              <w:t>Special Deduction Request</w:t>
            </w:r>
            <w:r w:rsidR="00924FEC" w:rsidRPr="00924FEC">
              <w:rPr>
                <w:rFonts w:ascii="Calibri" w:eastAsia="Calibri" w:hAnsi="Calibri" w:cs="Calibri"/>
                <w:bCs/>
                <w:sz w:val="20"/>
                <w:szCs w:val="20"/>
              </w:rPr>
              <w:t> </w:t>
            </w:r>
            <w:r w:rsidRPr="00924FEC">
              <w:rPr>
                <w:rFonts w:ascii="Calibri" w:eastAsia="Calibri" w:hAnsi="Calibri" w:cs="Calibri"/>
                <w:sz w:val="20"/>
                <w:szCs w:val="20"/>
              </w:rPr>
              <w:t>directly to the RIC team as noted on the form.</w:t>
            </w:r>
          </w:p>
        </w:tc>
      </w:tr>
      <w:tr w:rsidR="00AF76C1">
        <w:trPr>
          <w:trHeight w:val="692"/>
        </w:trPr>
        <w:tc>
          <w:tcPr>
            <w:tcW w:w="3390" w:type="dxa"/>
            <w:tcBorders>
              <w:bottom w:val="single" w:sz="6" w:space="0" w:color="000000"/>
            </w:tcBorders>
            <w:shd w:val="clear" w:color="auto" w:fill="auto"/>
            <w:tcMar>
              <w:top w:w="100" w:type="dxa"/>
              <w:left w:w="100" w:type="dxa"/>
              <w:bottom w:w="100" w:type="dxa"/>
              <w:right w:w="100" w:type="dxa"/>
            </w:tcMar>
          </w:tcPr>
          <w:p w:rsidR="00AF76C1" w:rsidRDefault="00CD51E6">
            <w:pPr>
              <w:shd w:val="clear" w:color="auto" w:fill="FFFFFF"/>
              <w:spacing w:line="240" w:lineRule="auto"/>
              <w:rPr>
                <w:rFonts w:ascii="Calibri" w:eastAsia="Calibri" w:hAnsi="Calibri" w:cs="Calibri"/>
                <w:color w:val="1155CC"/>
                <w:sz w:val="20"/>
                <w:szCs w:val="20"/>
                <w:u w:val="single"/>
              </w:rPr>
            </w:pPr>
            <w:hyperlink r:id="rId20">
              <w:r w:rsidR="00593562">
                <w:rPr>
                  <w:rFonts w:ascii="Calibri" w:eastAsia="Calibri" w:hAnsi="Calibri" w:cs="Calibri"/>
                  <w:color w:val="1155CC"/>
                  <w:sz w:val="20"/>
                  <w:szCs w:val="20"/>
                  <w:u w:val="single"/>
                </w:rPr>
                <w:t xml:space="preserve"> Request a 3-Yr Catch-Up Worksheet</w:t>
              </w:r>
            </w:hyperlink>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729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The calculation worksheet necessary to establish eligibility to contribute beyond the normal limit deductibility requirements. Tell employees to send an email to the </w:t>
            </w:r>
            <w:hyperlink r:id="rId21">
              <w:r>
                <w:rPr>
                  <w:rFonts w:ascii="Calibri" w:eastAsia="Calibri" w:hAnsi="Calibri" w:cs="Calibri"/>
                  <w:color w:val="1155CC"/>
                  <w:sz w:val="20"/>
                  <w:szCs w:val="20"/>
                  <w:u w:val="single"/>
                </w:rPr>
                <w:t>RIC team</w:t>
              </w:r>
            </w:hyperlink>
            <w:r>
              <w:rPr>
                <w:rFonts w:ascii="Calibri" w:eastAsia="Calibri" w:hAnsi="Calibri" w:cs="Calibri"/>
                <w:sz w:val="20"/>
                <w:szCs w:val="20"/>
              </w:rPr>
              <w:t xml:space="preserve"> if they wish to apply for this catch-up.</w:t>
            </w:r>
          </w:p>
        </w:tc>
      </w:tr>
      <w:tr w:rsidR="00AF76C1">
        <w:trPr>
          <w:trHeight w:val="692"/>
        </w:trPr>
        <w:tc>
          <w:tcPr>
            <w:tcW w:w="3390" w:type="dxa"/>
            <w:tcBorders>
              <w:bottom w:val="single" w:sz="6" w:space="0" w:color="000000"/>
            </w:tcBorders>
            <w:shd w:val="clear" w:color="auto" w:fill="auto"/>
            <w:tcMar>
              <w:top w:w="100" w:type="dxa"/>
              <w:left w:w="100" w:type="dxa"/>
              <w:bottom w:w="100" w:type="dxa"/>
              <w:right w:w="100" w:type="dxa"/>
            </w:tcMar>
          </w:tcPr>
          <w:p w:rsidR="00AF76C1" w:rsidRDefault="00CD51E6">
            <w:pPr>
              <w:shd w:val="clear" w:color="auto" w:fill="FFFFFF"/>
              <w:spacing w:line="240" w:lineRule="auto"/>
              <w:rPr>
                <w:rFonts w:ascii="Calibri" w:eastAsia="Calibri" w:hAnsi="Calibri" w:cs="Calibri"/>
                <w:sz w:val="20"/>
                <w:szCs w:val="20"/>
                <w:highlight w:val="white"/>
              </w:rPr>
            </w:pPr>
            <w:hyperlink r:id="rId22">
              <w:r w:rsidR="00593562">
                <w:rPr>
                  <w:rFonts w:ascii="Calibri" w:eastAsia="Calibri" w:hAnsi="Calibri" w:cs="Calibri"/>
                  <w:color w:val="1155CC"/>
                  <w:sz w:val="20"/>
                  <w:szCs w:val="20"/>
                  <w:highlight w:val="white"/>
                  <w:u w:val="single"/>
                </w:rPr>
                <w:t>Flexible Spending Prepa</w:t>
              </w:r>
              <w:r w:rsidR="00593562">
                <w:rPr>
                  <w:rFonts w:ascii="Calibri" w:eastAsia="Calibri" w:hAnsi="Calibri" w:cs="Calibri"/>
                  <w:color w:val="1155CC"/>
                  <w:sz w:val="20"/>
                  <w:szCs w:val="20"/>
                  <w:highlight w:val="white"/>
                  <w:u w:val="single"/>
                </w:rPr>
                <w:t>y</w:t>
              </w:r>
              <w:r w:rsidR="00593562">
                <w:rPr>
                  <w:rFonts w:ascii="Calibri" w:eastAsia="Calibri" w:hAnsi="Calibri" w:cs="Calibri"/>
                  <w:color w:val="1155CC"/>
                  <w:sz w:val="20"/>
                  <w:szCs w:val="20"/>
                  <w:highlight w:val="white"/>
                  <w:u w:val="single"/>
                </w:rPr>
                <w:t>ment Form</w:t>
              </w:r>
            </w:hyperlink>
          </w:p>
        </w:tc>
        <w:tc>
          <w:tcPr>
            <w:tcW w:w="729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highlight w:val="white"/>
              </w:rPr>
            </w:pPr>
            <w:r>
              <w:rPr>
                <w:rFonts w:ascii="Calibri" w:eastAsia="Calibri" w:hAnsi="Calibri" w:cs="Calibri"/>
                <w:color w:val="222222"/>
                <w:sz w:val="20"/>
                <w:szCs w:val="20"/>
                <w:highlight w:val="white"/>
              </w:rPr>
              <w:t>Provide to the employee prior to retirement if requested. T</w:t>
            </w:r>
            <w:r>
              <w:rPr>
                <w:rFonts w:ascii="Calibri" w:eastAsia="Calibri" w:hAnsi="Calibri" w:cs="Calibri"/>
                <w:color w:val="333333"/>
                <w:sz w:val="20"/>
                <w:szCs w:val="20"/>
                <w:highlight w:val="white"/>
              </w:rPr>
              <w:t>hey can prepay for the remainder of the year with their final paycheck. This allows employees to incur claims through the remainder of the year, but they do not have the ability to carry over funds to the following year.</w:t>
            </w:r>
          </w:p>
        </w:tc>
      </w:tr>
      <w:tr w:rsidR="00AF76C1">
        <w:trPr>
          <w:trHeight w:val="476"/>
        </w:trPr>
        <w:tc>
          <w:tcPr>
            <w:tcW w:w="3390" w:type="dxa"/>
            <w:tcBorders>
              <w:bottom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Application for IPERS Retirement </w:t>
            </w:r>
          </w:p>
        </w:tc>
        <w:tc>
          <w:tcPr>
            <w:tcW w:w="729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HRA fills out the employer’s section on page 10 and returns to the employee to forward the complete packet to IPERS.</w:t>
            </w:r>
          </w:p>
        </w:tc>
      </w:tr>
    </w:tbl>
    <w:p w:rsidR="00AF76C1" w:rsidRDefault="00AF76C1">
      <w:pPr>
        <w:pStyle w:val="Heading2"/>
        <w:keepNext w:val="0"/>
        <w:keepLines w:val="0"/>
        <w:spacing w:before="0" w:after="0" w:line="240" w:lineRule="auto"/>
        <w:rPr>
          <w:rFonts w:ascii="Calibri" w:eastAsia="Calibri" w:hAnsi="Calibri" w:cs="Calibri"/>
          <w:sz w:val="22"/>
          <w:szCs w:val="22"/>
        </w:rPr>
      </w:pPr>
      <w:bookmarkStart w:id="1" w:name="_heading=h.30j0zll" w:colFirst="0" w:colLast="0"/>
      <w:bookmarkEnd w:id="1"/>
    </w:p>
    <w:tbl>
      <w:tblPr>
        <w:tblStyle w:val="a4"/>
        <w:tblW w:w="10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95"/>
        <w:gridCol w:w="3755"/>
        <w:gridCol w:w="4950"/>
      </w:tblGrid>
      <w:tr w:rsidR="00AF76C1">
        <w:trPr>
          <w:trHeight w:val="500"/>
        </w:trPr>
        <w:tc>
          <w:tcPr>
            <w:tcW w:w="10700" w:type="dxa"/>
            <w:gridSpan w:val="3"/>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POINTS OF CONTACT BY TOPIC</w:t>
            </w:r>
          </w:p>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SICK LEAVE INSURANCE PROGRAM QUESTIONS</w:t>
            </w:r>
          </w:p>
        </w:tc>
      </w:tr>
      <w:tr w:rsidR="00AF76C1">
        <w:trPr>
          <w:trHeight w:val="143"/>
        </w:trPr>
        <w:tc>
          <w:tcPr>
            <w:tcW w:w="1995" w:type="dxa"/>
            <w:tcBorders>
              <w:top w:val="single" w:sz="6" w:space="0" w:color="000000"/>
              <w:left w:val="single" w:sz="6" w:space="0" w:color="000000"/>
            </w:tcBorders>
            <w:shd w:val="clear" w:color="auto" w:fill="FFFFFF"/>
            <w:tcMar>
              <w:top w:w="100" w:type="dxa"/>
              <w:left w:w="100" w:type="dxa"/>
              <w:bottom w:w="100" w:type="dxa"/>
              <w:right w:w="100" w:type="dxa"/>
            </w:tcMar>
          </w:tcPr>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Topic</w:t>
            </w:r>
          </w:p>
        </w:tc>
        <w:tc>
          <w:tcPr>
            <w:tcW w:w="3755" w:type="dxa"/>
            <w:tcBorders>
              <w:top w:val="single" w:sz="6" w:space="0" w:color="000000"/>
            </w:tcBorders>
            <w:shd w:val="clear" w:color="auto" w:fill="FFFFFF"/>
            <w:tcMar>
              <w:top w:w="100" w:type="dxa"/>
              <w:left w:w="100" w:type="dxa"/>
              <w:bottom w:w="100" w:type="dxa"/>
              <w:right w:w="100" w:type="dxa"/>
            </w:tcMar>
          </w:tcPr>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Contact Name</w:t>
            </w:r>
          </w:p>
        </w:tc>
        <w:tc>
          <w:tcPr>
            <w:tcW w:w="4950" w:type="dxa"/>
            <w:tcBorders>
              <w:top w:val="single" w:sz="6" w:space="0" w:color="000000"/>
              <w:right w:val="single" w:sz="6" w:space="0" w:color="000000"/>
            </w:tcBorders>
            <w:shd w:val="clear" w:color="auto" w:fill="FFFFFF"/>
            <w:tcMar>
              <w:top w:w="100" w:type="dxa"/>
              <w:left w:w="100" w:type="dxa"/>
              <w:bottom w:w="100" w:type="dxa"/>
              <w:right w:w="100" w:type="dxa"/>
            </w:tcMar>
          </w:tcPr>
          <w:p w:rsidR="00AF76C1" w:rsidRDefault="00593562">
            <w:pPr>
              <w:spacing w:line="240" w:lineRule="auto"/>
              <w:jc w:val="center"/>
              <w:rPr>
                <w:rFonts w:ascii="Calibri" w:eastAsia="Calibri" w:hAnsi="Calibri" w:cs="Calibri"/>
                <w:b/>
                <w:sz w:val="20"/>
                <w:szCs w:val="20"/>
              </w:rPr>
            </w:pPr>
            <w:r>
              <w:rPr>
                <w:rFonts w:ascii="Calibri" w:eastAsia="Calibri" w:hAnsi="Calibri" w:cs="Calibri"/>
                <w:b/>
                <w:sz w:val="20"/>
                <w:szCs w:val="20"/>
              </w:rPr>
              <w:t>Contact Information</w:t>
            </w:r>
          </w:p>
        </w:tc>
      </w:tr>
      <w:tr w:rsidR="00AF76C1">
        <w:trPr>
          <w:trHeight w:val="818"/>
        </w:trPr>
        <w:tc>
          <w:tcPr>
            <w:tcW w:w="1995" w:type="dxa"/>
            <w:tcBorders>
              <w:lef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General SLIP questions from employees</w:t>
            </w:r>
          </w:p>
        </w:tc>
        <w:tc>
          <w:tcPr>
            <w:tcW w:w="3755" w:type="dxa"/>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Department Human Resources Associate, assigned Personnel Officer, or the </w:t>
            </w:r>
            <w:hyperlink r:id="rId23">
              <w:r>
                <w:rPr>
                  <w:rFonts w:ascii="Calibri" w:eastAsia="Calibri" w:hAnsi="Calibri" w:cs="Calibri"/>
                  <w:color w:val="1155CC"/>
                  <w:sz w:val="20"/>
                  <w:szCs w:val="20"/>
                  <w:u w:val="single"/>
                </w:rPr>
                <w:t>Retiree Benefits Specialist</w:t>
              </w:r>
            </w:hyperlink>
          </w:p>
        </w:tc>
        <w:tc>
          <w:tcPr>
            <w:tcW w:w="4950" w:type="dxa"/>
            <w:tcBorders>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Additional information available at</w:t>
            </w:r>
          </w:p>
          <w:p w:rsidR="00AF76C1" w:rsidRDefault="00CD51E6">
            <w:pPr>
              <w:spacing w:line="240" w:lineRule="auto"/>
              <w:rPr>
                <w:rFonts w:ascii="Calibri" w:eastAsia="Calibri" w:hAnsi="Calibri" w:cs="Calibri"/>
                <w:color w:val="1155CC"/>
                <w:sz w:val="20"/>
                <w:szCs w:val="20"/>
                <w:u w:val="single"/>
              </w:rPr>
            </w:pPr>
            <w:hyperlink r:id="rId24">
              <w:r w:rsidR="00593562">
                <w:rPr>
                  <w:rFonts w:ascii="Calibri" w:eastAsia="Calibri" w:hAnsi="Calibri" w:cs="Calibri"/>
                  <w:color w:val="1155CC"/>
                  <w:sz w:val="20"/>
                  <w:szCs w:val="20"/>
                  <w:u w:val="single"/>
                </w:rPr>
                <w:t>http://benefits.iowa.gov/retiree</w:t>
              </w:r>
            </w:hyperlink>
            <w:hyperlink r:id="rId25">
              <w:r w:rsidR="00593562">
                <w:rPr>
                  <w:rFonts w:ascii="Calibri" w:eastAsia="Calibri" w:hAnsi="Calibri" w:cs="Calibri"/>
                  <w:b/>
                  <w:color w:val="1155CC"/>
                  <w:sz w:val="20"/>
                  <w:szCs w:val="20"/>
                  <w:u w:val="single"/>
                </w:rPr>
                <w:t>_</w:t>
              </w:r>
            </w:hyperlink>
            <w:r w:rsidR="00593562">
              <w:rPr>
                <w:rFonts w:ascii="Calibri" w:eastAsia="Calibri" w:hAnsi="Calibri" w:cs="Calibri"/>
                <w:color w:val="1155CC"/>
                <w:sz w:val="20"/>
                <w:szCs w:val="20"/>
                <w:u w:val="single"/>
              </w:rPr>
              <w:t xml:space="preserve">slip.html </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515-281-6124</w:t>
            </w:r>
          </w:p>
        </w:tc>
      </w:tr>
      <w:tr w:rsidR="00AF76C1">
        <w:trPr>
          <w:trHeight w:val="431"/>
        </w:trPr>
        <w:tc>
          <w:tcPr>
            <w:tcW w:w="1995" w:type="dxa"/>
            <w:tcBorders>
              <w:lef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IPERS</w:t>
            </w:r>
          </w:p>
        </w:tc>
        <w:tc>
          <w:tcPr>
            <w:tcW w:w="3755" w:type="dxa"/>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IPERS Call Center</w:t>
            </w:r>
          </w:p>
        </w:tc>
        <w:tc>
          <w:tcPr>
            <w:tcW w:w="4950" w:type="dxa"/>
            <w:tcBorders>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Phone 1-800-622-3849</w:t>
            </w:r>
          </w:p>
          <w:p w:rsidR="00AF76C1" w:rsidRDefault="00CD51E6">
            <w:pPr>
              <w:spacing w:line="240" w:lineRule="auto"/>
              <w:rPr>
                <w:rFonts w:ascii="Calibri" w:eastAsia="Calibri" w:hAnsi="Calibri" w:cs="Calibri"/>
                <w:color w:val="1155CC"/>
                <w:sz w:val="20"/>
                <w:szCs w:val="20"/>
                <w:u w:val="single"/>
              </w:rPr>
            </w:pPr>
            <w:hyperlink r:id="rId26">
              <w:r w:rsidR="00593562">
                <w:rPr>
                  <w:rFonts w:ascii="Calibri" w:eastAsia="Calibri" w:hAnsi="Calibri" w:cs="Calibri"/>
                  <w:color w:val="0000FF"/>
                  <w:sz w:val="20"/>
                  <w:szCs w:val="20"/>
                  <w:u w:val="single"/>
                </w:rPr>
                <w:t>http://www.ipers.org</w:t>
              </w:r>
            </w:hyperlink>
          </w:p>
        </w:tc>
      </w:tr>
      <w:tr w:rsidR="00AF76C1">
        <w:trPr>
          <w:trHeight w:val="458"/>
        </w:trPr>
        <w:tc>
          <w:tcPr>
            <w:tcW w:w="1995" w:type="dxa"/>
            <w:tcBorders>
              <w:lef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Health Insurance</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Dental Insurance</w:t>
            </w:r>
          </w:p>
        </w:tc>
        <w:tc>
          <w:tcPr>
            <w:tcW w:w="3755" w:type="dxa"/>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Retiree Benefits Specialist</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DAS, Human Resources Enterprise</w:t>
            </w:r>
          </w:p>
        </w:tc>
        <w:tc>
          <w:tcPr>
            <w:tcW w:w="4950" w:type="dxa"/>
            <w:tcBorders>
              <w:right w:val="single" w:sz="6" w:space="0" w:color="000000"/>
            </w:tcBorders>
            <w:shd w:val="clear" w:color="auto" w:fill="auto"/>
            <w:tcMar>
              <w:top w:w="100" w:type="dxa"/>
              <w:left w:w="100" w:type="dxa"/>
              <w:bottom w:w="100" w:type="dxa"/>
              <w:right w:w="100" w:type="dxa"/>
            </w:tcMar>
          </w:tcPr>
          <w:p w:rsidR="00AF76C1" w:rsidRDefault="00593562">
            <w:pPr>
              <w:tabs>
                <w:tab w:val="left" w:pos="430"/>
                <w:tab w:val="left" w:pos="540"/>
                <w:tab w:val="left" w:pos="680"/>
              </w:tabs>
              <w:spacing w:line="240" w:lineRule="auto"/>
              <w:rPr>
                <w:rFonts w:ascii="Calibri" w:eastAsia="Calibri" w:hAnsi="Calibri" w:cs="Calibri"/>
                <w:sz w:val="20"/>
                <w:szCs w:val="20"/>
              </w:rPr>
            </w:pPr>
            <w:r>
              <w:rPr>
                <w:rFonts w:ascii="Calibri" w:eastAsia="Calibri" w:hAnsi="Calibri" w:cs="Calibri"/>
                <w:sz w:val="20"/>
                <w:szCs w:val="20"/>
              </w:rPr>
              <w:t>Phone 515-725-0668     FAX  515-242-6450</w:t>
            </w:r>
          </w:p>
          <w:p w:rsidR="00AF76C1" w:rsidRDefault="00593562">
            <w:pPr>
              <w:spacing w:line="240" w:lineRule="auto"/>
              <w:rPr>
                <w:rFonts w:ascii="Calibri" w:eastAsia="Calibri" w:hAnsi="Calibri" w:cs="Calibri"/>
                <w:color w:val="0000FF"/>
                <w:sz w:val="20"/>
                <w:szCs w:val="20"/>
                <w:u w:val="single"/>
              </w:rPr>
            </w:pPr>
            <w:r>
              <w:rPr>
                <w:rFonts w:ascii="Calibri" w:eastAsia="Calibri" w:hAnsi="Calibri" w:cs="Calibri"/>
                <w:sz w:val="20"/>
                <w:szCs w:val="20"/>
              </w:rPr>
              <w:t xml:space="preserve">Email   </w:t>
            </w:r>
            <w:r>
              <w:rPr>
                <w:rFonts w:ascii="Calibri" w:eastAsia="Calibri" w:hAnsi="Calibri" w:cs="Calibri"/>
                <w:color w:val="1155CC"/>
                <w:sz w:val="20"/>
                <w:szCs w:val="20"/>
                <w:u w:val="single"/>
              </w:rPr>
              <w:t>stateretirees@iowa.gov</w:t>
            </w:r>
          </w:p>
        </w:tc>
      </w:tr>
      <w:tr w:rsidR="00AF76C1">
        <w:trPr>
          <w:trHeight w:val="494"/>
        </w:trPr>
        <w:tc>
          <w:tcPr>
            <w:tcW w:w="1995" w:type="dxa"/>
            <w:tcBorders>
              <w:lef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Life Insurance</w:t>
            </w:r>
          </w:p>
        </w:tc>
        <w:tc>
          <w:tcPr>
            <w:tcW w:w="3755" w:type="dxa"/>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Life Insurance Administrator</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DAS, Human Resources Enterprise</w:t>
            </w:r>
          </w:p>
        </w:tc>
        <w:tc>
          <w:tcPr>
            <w:tcW w:w="4950" w:type="dxa"/>
            <w:tcBorders>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Phone 515-281-8866     FAX  515-242-6450</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Email   </w:t>
            </w:r>
            <w:hyperlink r:id="rId27">
              <w:r>
                <w:rPr>
                  <w:rFonts w:ascii="Calibri" w:eastAsia="Calibri" w:hAnsi="Calibri" w:cs="Calibri"/>
                  <w:color w:val="0000FF"/>
                  <w:sz w:val="20"/>
                  <w:szCs w:val="20"/>
                  <w:u w:val="single"/>
                </w:rPr>
                <w:t>employee.benefits@iowa.gov</w:t>
              </w:r>
            </w:hyperlink>
            <w:r>
              <w:rPr>
                <w:rFonts w:ascii="Calibri" w:eastAsia="Calibri" w:hAnsi="Calibri" w:cs="Calibri"/>
                <w:color w:val="1155CC"/>
                <w:sz w:val="20"/>
                <w:szCs w:val="20"/>
                <w:u w:val="single"/>
              </w:rPr>
              <w:t xml:space="preserve"> </w:t>
            </w:r>
          </w:p>
        </w:tc>
      </w:tr>
      <w:tr w:rsidR="00AF76C1">
        <w:trPr>
          <w:trHeight w:val="521"/>
        </w:trPr>
        <w:tc>
          <w:tcPr>
            <w:tcW w:w="1995" w:type="dxa"/>
            <w:tcBorders>
              <w:left w:val="single" w:sz="6" w:space="0" w:color="000000"/>
              <w:bottom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RIC</w:t>
            </w:r>
          </w:p>
        </w:tc>
        <w:tc>
          <w:tcPr>
            <w:tcW w:w="3755" w:type="dxa"/>
            <w:tcBorders>
              <w:bottom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HRE RIC Team</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DAS, Human Resources Enterprise</w:t>
            </w:r>
          </w:p>
        </w:tc>
        <w:tc>
          <w:tcPr>
            <w:tcW w:w="495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Phone 515-281-8677     FAX  515-281-5102</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Email   </w:t>
            </w:r>
            <w:hyperlink r:id="rId28">
              <w:r>
                <w:rPr>
                  <w:rFonts w:ascii="Calibri" w:eastAsia="Calibri" w:hAnsi="Calibri" w:cs="Calibri"/>
                  <w:color w:val="1155CC"/>
                  <w:sz w:val="20"/>
                  <w:szCs w:val="20"/>
                  <w:u w:val="single"/>
                </w:rPr>
                <w:t>ric@iowa.gov</w:t>
              </w:r>
            </w:hyperlink>
            <w:r>
              <w:rPr>
                <w:rFonts w:ascii="Calibri" w:eastAsia="Calibri" w:hAnsi="Calibri" w:cs="Calibri"/>
                <w:color w:val="1155CC"/>
                <w:sz w:val="20"/>
                <w:szCs w:val="20"/>
                <w:u w:val="single"/>
              </w:rPr>
              <w:t xml:space="preserve"> </w:t>
            </w:r>
          </w:p>
        </w:tc>
      </w:tr>
      <w:tr w:rsidR="00AF76C1">
        <w:trPr>
          <w:trHeight w:val="521"/>
        </w:trPr>
        <w:tc>
          <w:tcPr>
            <w:tcW w:w="1995" w:type="dxa"/>
            <w:tcBorders>
              <w:left w:val="single" w:sz="6" w:space="0" w:color="000000"/>
              <w:bottom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Insurance Billing Process</w:t>
            </w:r>
          </w:p>
        </w:tc>
        <w:tc>
          <w:tcPr>
            <w:tcW w:w="3755" w:type="dxa"/>
            <w:tcBorders>
              <w:bottom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SAE SLIP Manager</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DAS, State Accounting Enterprise</w:t>
            </w:r>
          </w:p>
        </w:tc>
        <w:tc>
          <w:tcPr>
            <w:tcW w:w="4950" w:type="dxa"/>
            <w:tcBorders>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Phone  515-281-3714     FAX  515-281-5255</w:t>
            </w:r>
          </w:p>
          <w:p w:rsidR="00AF76C1" w:rsidRDefault="00593562">
            <w:pPr>
              <w:spacing w:line="240" w:lineRule="auto"/>
              <w:rPr>
                <w:rFonts w:ascii="Calibri" w:eastAsia="Calibri" w:hAnsi="Calibri" w:cs="Calibri"/>
                <w:sz w:val="20"/>
                <w:szCs w:val="20"/>
              </w:rPr>
            </w:pPr>
            <w:r>
              <w:rPr>
                <w:rFonts w:ascii="Calibri" w:eastAsia="Calibri" w:hAnsi="Calibri" w:cs="Calibri"/>
                <w:sz w:val="20"/>
                <w:szCs w:val="20"/>
              </w:rPr>
              <w:t xml:space="preserve">Email   </w:t>
            </w:r>
            <w:hyperlink r:id="rId29">
              <w:r>
                <w:rPr>
                  <w:rFonts w:ascii="Calibri" w:eastAsia="Calibri" w:hAnsi="Calibri" w:cs="Calibri"/>
                  <w:color w:val="0000FF"/>
                  <w:sz w:val="20"/>
                  <w:szCs w:val="20"/>
                  <w:highlight w:val="white"/>
                  <w:u w:val="single"/>
                </w:rPr>
                <w:t>centralpayroll@iowa.gov</w:t>
              </w:r>
            </w:hyperlink>
            <w:r>
              <w:rPr>
                <w:rFonts w:ascii="Calibri" w:eastAsia="Calibri" w:hAnsi="Calibri" w:cs="Calibri"/>
                <w:color w:val="1155CC"/>
                <w:sz w:val="20"/>
                <w:szCs w:val="20"/>
                <w:highlight w:val="white"/>
              </w:rPr>
              <w:t xml:space="preserve"> </w:t>
            </w:r>
          </w:p>
        </w:tc>
      </w:tr>
      <w:tr w:rsidR="00AF76C1">
        <w:trPr>
          <w:trHeight w:val="359"/>
        </w:trPr>
        <w:tc>
          <w:tcPr>
            <w:tcW w:w="10700"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F76C1" w:rsidRDefault="00593562">
            <w:pPr>
              <w:spacing w:line="240" w:lineRule="auto"/>
              <w:rPr>
                <w:rFonts w:ascii="Calibri" w:eastAsia="Calibri" w:hAnsi="Calibri" w:cs="Calibri"/>
                <w:sz w:val="20"/>
                <w:szCs w:val="20"/>
              </w:rPr>
            </w:pPr>
            <w:r>
              <w:rPr>
                <w:rFonts w:ascii="Calibri" w:eastAsia="Calibri" w:hAnsi="Calibri" w:cs="Calibri"/>
                <w:b/>
                <w:sz w:val="20"/>
                <w:szCs w:val="20"/>
              </w:rPr>
              <w:t>Additional information, forms, and reference links available at</w:t>
            </w:r>
            <w:hyperlink r:id="rId30">
              <w:r>
                <w:rPr>
                  <w:rFonts w:ascii="Calibri" w:eastAsia="Calibri" w:hAnsi="Calibri" w:cs="Calibri"/>
                  <w:b/>
                  <w:sz w:val="20"/>
                  <w:szCs w:val="20"/>
                </w:rPr>
                <w:t xml:space="preserve"> </w:t>
              </w:r>
            </w:hyperlink>
            <w:hyperlink r:id="rId31">
              <w:r>
                <w:rPr>
                  <w:rFonts w:ascii="Calibri" w:eastAsia="Calibri" w:hAnsi="Calibri" w:cs="Calibri"/>
                  <w:color w:val="1155CC"/>
                  <w:sz w:val="20"/>
                  <w:szCs w:val="20"/>
                  <w:u w:val="single"/>
                </w:rPr>
                <w:t>https://das.iowa.gov/human-resources/employee-and-retiree-benefits/retirees/sick-leave-insurance-program-slip</w:t>
              </w:r>
            </w:hyperlink>
            <w:r>
              <w:rPr>
                <w:rFonts w:ascii="Calibri" w:eastAsia="Calibri" w:hAnsi="Calibri" w:cs="Calibri"/>
                <w:sz w:val="20"/>
                <w:szCs w:val="20"/>
              </w:rPr>
              <w:t>.</w:t>
            </w:r>
          </w:p>
        </w:tc>
      </w:tr>
    </w:tbl>
    <w:p w:rsidR="00AF76C1" w:rsidRDefault="00AF76C1">
      <w:pPr>
        <w:spacing w:line="240" w:lineRule="auto"/>
        <w:rPr>
          <w:rFonts w:ascii="Calibri" w:eastAsia="Calibri" w:hAnsi="Calibri" w:cs="Calibri"/>
          <w:sz w:val="16"/>
          <w:szCs w:val="16"/>
        </w:rPr>
      </w:pPr>
      <w:bookmarkStart w:id="2" w:name="_GoBack"/>
      <w:bookmarkEnd w:id="2"/>
    </w:p>
    <w:sectPr w:rsidR="00AF76C1">
      <w:footerReference w:type="default" r:id="rId32"/>
      <w:pgSz w:w="12240" w:h="15840"/>
      <w:pgMar w:top="5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FA" w:rsidRDefault="00593562">
      <w:pPr>
        <w:spacing w:line="240" w:lineRule="auto"/>
      </w:pPr>
      <w:r>
        <w:separator/>
      </w:r>
    </w:p>
  </w:endnote>
  <w:endnote w:type="continuationSeparator" w:id="0">
    <w:p w:rsidR="002763FA" w:rsidRDefault="00593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6C1" w:rsidRDefault="00593562">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18"/>
        <w:szCs w:val="18"/>
      </w:rPr>
    </w:pPr>
    <w:r>
      <w:rPr>
        <w:rFonts w:ascii="Calibri" w:eastAsia="Calibri" w:hAnsi="Calibri" w:cs="Calibri"/>
        <w:color w:val="000000"/>
        <w:sz w:val="18"/>
        <w:szCs w:val="18"/>
      </w:rPr>
      <w:t>CFN 552-</w:t>
    </w:r>
    <w:proofErr w:type="gramStart"/>
    <w:r>
      <w:rPr>
        <w:rFonts w:ascii="Calibri" w:eastAsia="Calibri" w:hAnsi="Calibri" w:cs="Calibri"/>
        <w:color w:val="000000"/>
        <w:sz w:val="18"/>
        <w:szCs w:val="18"/>
      </w:rPr>
      <w:t>0766  Rev</w:t>
    </w:r>
    <w:proofErr w:type="gramEnd"/>
    <w:r>
      <w:rPr>
        <w:rFonts w:ascii="Calibri" w:eastAsia="Calibri" w:hAnsi="Calibri" w:cs="Calibri"/>
        <w:color w:val="000000"/>
        <w:sz w:val="18"/>
        <w:szCs w:val="18"/>
      </w:rPr>
      <w:t xml:space="preserve"> 0</w:t>
    </w:r>
    <w:r w:rsidR="00CD51E6">
      <w:rPr>
        <w:rFonts w:ascii="Calibri" w:eastAsia="Calibri" w:hAnsi="Calibri" w:cs="Calibri"/>
        <w:color w:val="000000"/>
        <w:sz w:val="18"/>
        <w:szCs w:val="18"/>
      </w:rPr>
      <w:t>2</w:t>
    </w:r>
    <w:r>
      <w:rPr>
        <w:rFonts w:ascii="Calibri" w:eastAsia="Calibri" w:hAnsi="Calibri" w:cs="Calibri"/>
        <w:color w:val="000000"/>
        <w:sz w:val="18"/>
        <w:szCs w:val="18"/>
      </w:rPr>
      <w:t>/202</w:t>
    </w:r>
    <w:r w:rsidR="00CD51E6">
      <w:rPr>
        <w:rFonts w:ascii="Calibri" w:eastAsia="Calibri" w:hAnsi="Calibri" w:cs="Calibri"/>
        <w:color w:val="000000"/>
        <w:sz w:val="18"/>
        <w:szCs w:val="18"/>
      </w:rPr>
      <w:t>3</w:t>
    </w:r>
    <w:r>
      <w:rPr>
        <w:rFonts w:ascii="Calibri" w:eastAsia="Calibri" w:hAnsi="Calibri" w:cs="Calibri"/>
        <w:color w:val="000000"/>
        <w:sz w:val="18"/>
        <w:szCs w:val="18"/>
      </w:rPr>
      <w:t xml:space="preserve">                                                                                                                                                                                           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FA" w:rsidRDefault="00593562">
      <w:pPr>
        <w:spacing w:line="240" w:lineRule="auto"/>
      </w:pPr>
      <w:r>
        <w:separator/>
      </w:r>
    </w:p>
  </w:footnote>
  <w:footnote w:type="continuationSeparator" w:id="0">
    <w:p w:rsidR="002763FA" w:rsidRDefault="005935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C1"/>
    <w:rsid w:val="00091C2D"/>
    <w:rsid w:val="002763FA"/>
    <w:rsid w:val="003112D9"/>
    <w:rsid w:val="00593562"/>
    <w:rsid w:val="00863D5A"/>
    <w:rsid w:val="00924FEC"/>
    <w:rsid w:val="009C5ACD"/>
    <w:rsid w:val="00AF76C1"/>
    <w:rsid w:val="00C453F7"/>
    <w:rsid w:val="00CD51E6"/>
    <w:rsid w:val="00D52680"/>
    <w:rsid w:val="00D74052"/>
    <w:rsid w:val="00DC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0715"/>
  <w15:docId w15:val="{9BF34E67-A894-49FD-8C12-BA576E4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6FAA"/>
    <w:pPr>
      <w:tabs>
        <w:tab w:val="center" w:pos="4680"/>
        <w:tab w:val="right" w:pos="9360"/>
      </w:tabs>
      <w:spacing w:line="240" w:lineRule="auto"/>
    </w:pPr>
  </w:style>
  <w:style w:type="character" w:customStyle="1" w:styleId="HeaderChar">
    <w:name w:val="Header Char"/>
    <w:basedOn w:val="DefaultParagraphFont"/>
    <w:link w:val="Header"/>
    <w:uiPriority w:val="99"/>
    <w:rsid w:val="006D6FAA"/>
  </w:style>
  <w:style w:type="paragraph" w:styleId="Footer">
    <w:name w:val="footer"/>
    <w:basedOn w:val="Normal"/>
    <w:link w:val="FooterChar"/>
    <w:uiPriority w:val="99"/>
    <w:unhideWhenUsed/>
    <w:rsid w:val="006D6FAA"/>
    <w:pPr>
      <w:tabs>
        <w:tab w:val="center" w:pos="4680"/>
        <w:tab w:val="right" w:pos="9360"/>
      </w:tabs>
      <w:spacing w:line="240" w:lineRule="auto"/>
    </w:pPr>
  </w:style>
  <w:style w:type="character" w:customStyle="1" w:styleId="FooterChar">
    <w:name w:val="Footer Char"/>
    <w:basedOn w:val="DefaultParagraphFont"/>
    <w:link w:val="Footer"/>
    <w:uiPriority w:val="99"/>
    <w:rsid w:val="006D6FAA"/>
  </w:style>
  <w:style w:type="character" w:styleId="Hyperlink">
    <w:name w:val="Hyperlink"/>
    <w:basedOn w:val="DefaultParagraphFont"/>
    <w:uiPriority w:val="99"/>
    <w:unhideWhenUsed/>
    <w:rsid w:val="0043089B"/>
    <w:rPr>
      <w:color w:val="0000FF" w:themeColor="hyperlink"/>
      <w:u w:val="single"/>
    </w:rPr>
  </w:style>
  <w:style w:type="character" w:styleId="UnresolvedMention">
    <w:name w:val="Unresolved Mention"/>
    <w:basedOn w:val="DefaultParagraphFont"/>
    <w:uiPriority w:val="99"/>
    <w:semiHidden/>
    <w:unhideWhenUsed/>
    <w:rsid w:val="0043089B"/>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924F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as.iowa.gov/sites/default/files/hr/benefits/forms/Delta.Dental.App.%28fillable%29.docx" TargetMode="External"/><Relationship Id="rId18" Type="http://schemas.openxmlformats.org/officeDocument/2006/relationships/hyperlink" Target="https://das.iowa.gov/human-resources/employee-and-retiree-benefits/employees/group-insurance/life-insurance/continuing" TargetMode="External"/><Relationship Id="rId26" Type="http://schemas.openxmlformats.org/officeDocument/2006/relationships/hyperlink" Target="http://www.ipers.org" TargetMode="External"/><Relationship Id="rId3" Type="http://schemas.openxmlformats.org/officeDocument/2006/relationships/settings" Target="settings.xml"/><Relationship Id="rId21" Type="http://schemas.openxmlformats.org/officeDocument/2006/relationships/hyperlink" Target="mailto:ric@iowa.gov"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tateretirees@iowa.gov" TargetMode="External"/><Relationship Id="rId17" Type="http://schemas.openxmlformats.org/officeDocument/2006/relationships/hyperlink" Target="https://das.iowa.gov/human-resources/employee-and-retiree-benefits/retirees/retiree-health-and-dental-forms-and-resources" TargetMode="External"/><Relationship Id="rId25" Type="http://schemas.openxmlformats.org/officeDocument/2006/relationships/hyperlink" Target="http://benefits.iowa.gov/retiree_slip.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orksmart.iowa.gov/workday-schedule-hr" TargetMode="External"/><Relationship Id="rId20" Type="http://schemas.openxmlformats.org/officeDocument/2006/relationships/hyperlink" Target="https://das.iowa.gov/RIC/SOI/documents" TargetMode="External"/><Relationship Id="rId29" Type="http://schemas.openxmlformats.org/officeDocument/2006/relationships/hyperlink" Target="mailto:centralpayroll@iowa.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as.iowa.gov/human-resources/employee-and-retiree-benefits/retirees/retiree-health-and-dental-forms-and-resources" TargetMode="External"/><Relationship Id="rId24" Type="http://schemas.openxmlformats.org/officeDocument/2006/relationships/hyperlink" Target="http://benefits.iowa.gov/retiree_slip.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ateretirees@iowa.gov" TargetMode="External"/><Relationship Id="rId23" Type="http://schemas.openxmlformats.org/officeDocument/2006/relationships/hyperlink" Target="mailto:stateretirees@iowa.gov" TargetMode="External"/><Relationship Id="rId28" Type="http://schemas.openxmlformats.org/officeDocument/2006/relationships/hyperlink" Target="mailto:ric@iowa.gov" TargetMode="External"/><Relationship Id="rId10" Type="http://schemas.openxmlformats.org/officeDocument/2006/relationships/hyperlink" Target="mailto:stateretirees@iowa.gov" TargetMode="External"/><Relationship Id="rId19" Type="http://schemas.openxmlformats.org/officeDocument/2006/relationships/hyperlink" Target="https://das.iowa.gov/RIC/SOI/documents" TargetMode="External"/><Relationship Id="rId31" Type="http://schemas.openxmlformats.org/officeDocument/2006/relationships/hyperlink" Target="https://das.iowa.gov/human-resources/employee-and-retiree-benefits/retirees/sick-leave-insurance-program-slip" TargetMode="External"/><Relationship Id="rId4" Type="http://schemas.openxmlformats.org/officeDocument/2006/relationships/webSettings" Target="webSettings.xml"/><Relationship Id="rId9" Type="http://schemas.openxmlformats.org/officeDocument/2006/relationships/hyperlink" Target="https://das.iowa.gov/human-resources/employee-and-retiree-benefits/retirees/retiree-health-and-dental-forms-and-resources" TargetMode="External"/><Relationship Id="rId14" Type="http://schemas.openxmlformats.org/officeDocument/2006/relationships/hyperlink" Target="https://das.iowa.gov/human-resources/employee-and-retiree-benefits/retirees/retiree-health-and-dental-forms-and-resources" TargetMode="External"/><Relationship Id="rId22" Type="http://schemas.openxmlformats.org/officeDocument/2006/relationships/hyperlink" Target="https://das.iowa.gov/sites/default/files/hr/fsa/documents/FSA_prepay_form.pdf" TargetMode="External"/><Relationship Id="rId27" Type="http://schemas.openxmlformats.org/officeDocument/2006/relationships/hyperlink" Target="mailto:employee.benefits@iowa.gov" TargetMode="External"/><Relationship Id="rId30" Type="http://schemas.openxmlformats.org/officeDocument/2006/relationships/hyperlink" Target="https://das.iowa.gov/human-resources/employee-and-retiree-benefits/retirees/sick-leave-insurance-program-slip" TargetMode="External"/><Relationship Id="rId8" Type="http://schemas.openxmlformats.org/officeDocument/2006/relationships/hyperlink" Target="https://das.iowa.gov/human-resources/employee-and-retiree-benefits/retirees/retiree-health-and-dental-form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84C37KQNBuOcvdWO75gk7WKi/A==">AMUW2mVFfOSBHz4eF1W/4wFqept9/X2dzssy+d8tk7DECZ2XnJpM4/S258lbW6WDEX0GKTl6UyG0M5uj1TLlQU5znSCdwnsYWk4WEiczodGkdGiQ2MPcSPWwOe8NtS9fKp7ZLvYJuMogbRg0NtASoU4Nz6R2NXTXVQ==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Churchill, Susan [DAS]</dc:creator>
  <cp:lastModifiedBy>Potter, Danielle [DAS]</cp:lastModifiedBy>
  <cp:revision>2</cp:revision>
  <dcterms:created xsi:type="dcterms:W3CDTF">2023-02-08T16:02:00Z</dcterms:created>
  <dcterms:modified xsi:type="dcterms:W3CDTF">2023-02-08T16:02:00Z</dcterms:modified>
</cp:coreProperties>
</file>